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FEC3">
      <w:pPr>
        <w:rPr>
          <w:rFonts w:ascii="黑体" w:hAnsi="黑体" w:eastAsia="黑体"/>
          <w:sz w:val="32"/>
          <w:szCs w:val="32"/>
        </w:rPr>
      </w:pPr>
      <w:r>
        <w:rPr>
          <w:rFonts w:hint="eastAsia" w:ascii="黑体" w:hAnsi="黑体" w:eastAsia="黑体"/>
          <w:sz w:val="32"/>
          <w:szCs w:val="32"/>
        </w:rPr>
        <w:t>附件2</w:t>
      </w:r>
      <w:r>
        <w:rPr>
          <w:rFonts w:ascii="黑体" w:hAnsi="黑体" w:eastAsia="黑体"/>
          <w:sz w:val="32"/>
          <w:szCs w:val="32"/>
        </w:rPr>
        <w:t xml:space="preserve">   </w:t>
      </w:r>
    </w:p>
    <w:p w14:paraId="58BB717B">
      <w:pPr>
        <w:jc w:val="center"/>
        <w:rPr>
          <w:rFonts w:ascii="黑体" w:hAnsi="黑体" w:eastAsia="黑体"/>
          <w:sz w:val="30"/>
          <w:szCs w:val="30"/>
        </w:rPr>
      </w:pPr>
      <w:r>
        <w:rPr>
          <w:rFonts w:hint="eastAsia" w:ascii="黑体" w:hAnsi="黑体" w:eastAsia="黑体"/>
          <w:sz w:val="30"/>
          <w:szCs w:val="30"/>
        </w:rPr>
        <w:t>“华为·安徽”202</w:t>
      </w:r>
      <w:r>
        <w:rPr>
          <w:rFonts w:ascii="黑体" w:hAnsi="黑体" w:eastAsia="黑体"/>
          <w:sz w:val="30"/>
          <w:szCs w:val="30"/>
        </w:rPr>
        <w:t>5</w:t>
      </w:r>
      <w:r>
        <w:rPr>
          <w:rFonts w:hint="eastAsia" w:ascii="黑体" w:hAnsi="黑体" w:eastAsia="黑体"/>
          <w:sz w:val="30"/>
          <w:szCs w:val="30"/>
        </w:rPr>
        <w:t>产学合作创新课</w:t>
      </w:r>
      <w:bookmarkStart w:id="1" w:name="_GoBack"/>
      <w:bookmarkEnd w:id="1"/>
      <w:r>
        <w:rPr>
          <w:rFonts w:hint="eastAsia" w:ascii="黑体" w:hAnsi="黑体" w:eastAsia="黑体"/>
          <w:sz w:val="30"/>
          <w:szCs w:val="30"/>
        </w:rPr>
        <w:t>题类型及研究方向一览表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874"/>
        <w:gridCol w:w="1296"/>
        <w:gridCol w:w="8964"/>
        <w:gridCol w:w="893"/>
      </w:tblGrid>
      <w:tr w14:paraId="5AAF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trPr>
        <w:tc>
          <w:tcPr>
            <w:tcW w:w="405" w:type="pct"/>
            <w:shd w:val="clear" w:color="auto" w:fill="auto"/>
            <w:vAlign w:val="center"/>
          </w:tcPr>
          <w:p w14:paraId="29FD5214">
            <w:pPr>
              <w:widowControl/>
              <w:jc w:val="center"/>
              <w:rPr>
                <w:rFonts w:ascii="宋体" w:hAnsi="宋体" w:eastAsia="宋体" w:cs="宋体"/>
                <w:b/>
                <w:bCs/>
                <w:color w:val="000000"/>
                <w:sz w:val="22"/>
              </w:rPr>
            </w:pPr>
            <w:bookmarkStart w:id="0" w:name="RANGE!A1"/>
            <w:r>
              <w:rPr>
                <w:rFonts w:hint="eastAsia" w:ascii="宋体" w:hAnsi="宋体" w:eastAsia="宋体" w:cs="宋体"/>
                <w:b/>
                <w:bCs/>
                <w:color w:val="000000"/>
                <w:sz w:val="22"/>
              </w:rPr>
              <w:t>课题类型</w:t>
            </w:r>
            <w:bookmarkEnd w:id="0"/>
          </w:p>
        </w:tc>
        <w:tc>
          <w:tcPr>
            <w:tcW w:w="661" w:type="pct"/>
            <w:shd w:val="clear" w:color="auto" w:fill="auto"/>
            <w:vAlign w:val="center"/>
          </w:tcPr>
          <w:p w14:paraId="76428D4C">
            <w:pPr>
              <w:widowControl/>
              <w:jc w:val="center"/>
              <w:rPr>
                <w:rFonts w:ascii="宋体" w:hAnsi="宋体" w:eastAsia="宋体" w:cs="宋体"/>
                <w:b/>
                <w:bCs/>
                <w:color w:val="000000"/>
                <w:sz w:val="22"/>
              </w:rPr>
            </w:pPr>
            <w:r>
              <w:rPr>
                <w:rFonts w:hint="eastAsia" w:ascii="宋体" w:hAnsi="宋体" w:eastAsia="宋体" w:cs="宋体"/>
                <w:b/>
                <w:bCs/>
                <w:color w:val="000000"/>
                <w:sz w:val="22"/>
              </w:rPr>
              <w:t>研究方向</w:t>
            </w:r>
          </w:p>
        </w:tc>
        <w:tc>
          <w:tcPr>
            <w:tcW w:w="457" w:type="pct"/>
            <w:vAlign w:val="center"/>
          </w:tcPr>
          <w:p w14:paraId="72339A1D">
            <w:pPr>
              <w:widowControl/>
              <w:jc w:val="center"/>
              <w:rPr>
                <w:rFonts w:ascii="宋体" w:hAnsi="宋体" w:eastAsia="宋体" w:cs="宋体"/>
                <w:b/>
                <w:bCs/>
                <w:color w:val="000000"/>
                <w:sz w:val="22"/>
              </w:rPr>
            </w:pPr>
            <w:r>
              <w:rPr>
                <w:rFonts w:hint="eastAsia" w:ascii="宋体" w:hAnsi="宋体" w:eastAsia="宋体" w:cs="宋体"/>
                <w:b/>
                <w:bCs/>
                <w:color w:val="000000"/>
                <w:sz w:val="22"/>
              </w:rPr>
              <w:t>课题编码</w:t>
            </w:r>
          </w:p>
        </w:tc>
        <w:tc>
          <w:tcPr>
            <w:tcW w:w="3162" w:type="pct"/>
            <w:shd w:val="clear" w:color="auto" w:fill="auto"/>
            <w:vAlign w:val="center"/>
          </w:tcPr>
          <w:p w14:paraId="40AC2DF7">
            <w:pPr>
              <w:widowControl/>
              <w:jc w:val="center"/>
              <w:rPr>
                <w:rFonts w:ascii="宋体" w:hAnsi="宋体" w:eastAsia="宋体" w:cs="宋体"/>
                <w:b/>
                <w:bCs/>
                <w:color w:val="000000"/>
                <w:sz w:val="22"/>
              </w:rPr>
            </w:pPr>
            <w:r>
              <w:rPr>
                <w:rFonts w:hint="eastAsia" w:ascii="宋体" w:hAnsi="宋体" w:eastAsia="宋体" w:cs="宋体"/>
                <w:b/>
                <w:bCs/>
                <w:color w:val="000000"/>
                <w:sz w:val="22"/>
              </w:rPr>
              <w:t>研究内容与目标</w:t>
            </w:r>
          </w:p>
        </w:tc>
        <w:tc>
          <w:tcPr>
            <w:tcW w:w="315" w:type="pct"/>
            <w:shd w:val="clear" w:color="auto" w:fill="auto"/>
            <w:vAlign w:val="center"/>
          </w:tcPr>
          <w:p w14:paraId="286C3812">
            <w:pPr>
              <w:widowControl/>
              <w:jc w:val="center"/>
              <w:rPr>
                <w:rFonts w:ascii="宋体" w:hAnsi="宋体" w:eastAsia="宋体" w:cs="宋体"/>
                <w:b/>
                <w:bCs/>
                <w:color w:val="000000"/>
                <w:sz w:val="22"/>
              </w:rPr>
            </w:pPr>
            <w:r>
              <w:rPr>
                <w:rFonts w:hint="eastAsia" w:ascii="宋体" w:hAnsi="宋体" w:eastAsia="宋体" w:cs="宋体"/>
                <w:b/>
                <w:bCs/>
                <w:color w:val="000000"/>
                <w:sz w:val="22"/>
              </w:rPr>
              <w:t>数量（项）</w:t>
            </w:r>
          </w:p>
        </w:tc>
      </w:tr>
      <w:tr w14:paraId="17E6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05" w:type="pct"/>
            <w:vMerge w:val="restart"/>
            <w:shd w:val="clear" w:color="auto" w:fill="auto"/>
            <w:vAlign w:val="center"/>
          </w:tcPr>
          <w:p w14:paraId="25837552">
            <w:pPr>
              <w:widowControl/>
              <w:jc w:val="center"/>
              <w:rPr>
                <w:rFonts w:ascii="宋体" w:hAnsi="宋体" w:eastAsia="宋体" w:cs="宋体"/>
                <w:color w:val="000000"/>
                <w:sz w:val="22"/>
              </w:rPr>
            </w:pPr>
            <w:r>
              <w:rPr>
                <w:rFonts w:hint="eastAsia" w:ascii="宋体" w:hAnsi="宋体" w:eastAsia="宋体" w:cs="宋体"/>
                <w:color w:val="000000"/>
                <w:sz w:val="22"/>
              </w:rPr>
              <w:t>政策研究</w:t>
            </w:r>
          </w:p>
        </w:tc>
        <w:tc>
          <w:tcPr>
            <w:tcW w:w="661" w:type="pct"/>
            <w:shd w:val="clear" w:color="auto" w:fill="auto"/>
            <w:vAlign w:val="center"/>
          </w:tcPr>
          <w:p w14:paraId="3F38A082">
            <w:pPr>
              <w:widowControl/>
              <w:jc w:val="center"/>
              <w:rPr>
                <w:rFonts w:ascii="宋体" w:hAnsi="宋体" w:eastAsia="宋体" w:cs="宋体"/>
                <w:color w:val="000000"/>
                <w:sz w:val="22"/>
              </w:rPr>
            </w:pPr>
            <w:r>
              <w:rPr>
                <w:rFonts w:hint="eastAsia" w:ascii="宋体" w:hAnsi="宋体" w:eastAsia="宋体" w:cs="宋体"/>
                <w:color w:val="000000"/>
                <w:sz w:val="22"/>
              </w:rPr>
              <w:t>现代产业学院</w:t>
            </w:r>
          </w:p>
        </w:tc>
        <w:tc>
          <w:tcPr>
            <w:tcW w:w="457" w:type="pct"/>
            <w:vAlign w:val="center"/>
          </w:tcPr>
          <w:p w14:paraId="7A726D45">
            <w:pPr>
              <w:widowControl/>
              <w:jc w:val="center"/>
              <w:rPr>
                <w:rFonts w:ascii="宋体" w:hAnsi="宋体" w:eastAsia="宋体" w:cs="宋体"/>
                <w:color w:val="000000"/>
                <w:sz w:val="22"/>
              </w:rPr>
            </w:pPr>
            <w:r>
              <w:rPr>
                <w:rFonts w:hint="eastAsia" w:ascii="宋体" w:hAnsi="宋体" w:eastAsia="宋体" w:cs="宋体"/>
                <w:color w:val="000000"/>
                <w:sz w:val="22"/>
              </w:rPr>
              <w:t>ZCYJ-01</w:t>
            </w:r>
          </w:p>
        </w:tc>
        <w:tc>
          <w:tcPr>
            <w:tcW w:w="3162" w:type="pct"/>
            <w:shd w:val="clear" w:color="auto" w:fill="auto"/>
            <w:vAlign w:val="center"/>
          </w:tcPr>
          <w:p w14:paraId="12D6EC4D">
            <w:pPr>
              <w:widowControl/>
              <w:rPr>
                <w:rFonts w:ascii="宋体" w:hAnsi="宋体" w:eastAsia="宋体" w:cs="宋体"/>
                <w:color w:val="000000"/>
                <w:sz w:val="22"/>
              </w:rPr>
            </w:pPr>
            <w:r>
              <w:rPr>
                <w:rFonts w:hint="eastAsia" w:ascii="宋体" w:hAnsi="宋体" w:eastAsia="宋体" w:cs="宋体"/>
                <w:color w:val="000000"/>
                <w:sz w:val="22"/>
              </w:rPr>
              <w:t>聚焦安徽省职业教育领域现代产业学院建设，梳理分析其建设进展和存在问题，重点就产业学院实体化运行机制建设、创新人才培养模式、提升人才培养质量、校企共建过程中经费及人员投入相关政策创新等方面进行实证研究，提出具体改进对策或政策建议。</w:t>
            </w:r>
          </w:p>
        </w:tc>
        <w:tc>
          <w:tcPr>
            <w:tcW w:w="315" w:type="pct"/>
            <w:shd w:val="clear" w:color="auto" w:fill="auto"/>
            <w:vAlign w:val="center"/>
          </w:tcPr>
          <w:p w14:paraId="5A33FFBE">
            <w:pPr>
              <w:widowControl/>
              <w:jc w:val="center"/>
              <w:rPr>
                <w:rFonts w:ascii="宋体" w:hAnsi="宋体" w:eastAsia="宋体" w:cs="宋体"/>
                <w:color w:val="000000"/>
                <w:sz w:val="22"/>
              </w:rPr>
            </w:pPr>
            <w:r>
              <w:rPr>
                <w:rFonts w:hint="eastAsia" w:ascii="宋体" w:hAnsi="宋体" w:eastAsia="宋体" w:cs="宋体"/>
                <w:color w:val="000000"/>
                <w:sz w:val="22"/>
              </w:rPr>
              <w:t>2</w:t>
            </w:r>
          </w:p>
        </w:tc>
      </w:tr>
      <w:tr w14:paraId="0FD2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5" w:type="pct"/>
            <w:vMerge w:val="continue"/>
            <w:vAlign w:val="center"/>
          </w:tcPr>
          <w:p w14:paraId="12B50DFC">
            <w:pPr>
              <w:widowControl/>
              <w:rPr>
                <w:rFonts w:ascii="宋体" w:hAnsi="宋体" w:eastAsia="宋体" w:cs="宋体"/>
                <w:color w:val="000000"/>
                <w:sz w:val="22"/>
              </w:rPr>
            </w:pPr>
          </w:p>
        </w:tc>
        <w:tc>
          <w:tcPr>
            <w:tcW w:w="661" w:type="pct"/>
            <w:shd w:val="clear" w:color="auto" w:fill="auto"/>
            <w:vAlign w:val="center"/>
          </w:tcPr>
          <w:p w14:paraId="46E643E1">
            <w:pPr>
              <w:widowControl/>
              <w:jc w:val="center"/>
              <w:rPr>
                <w:rFonts w:ascii="宋体" w:hAnsi="宋体" w:eastAsia="宋体" w:cs="宋体"/>
                <w:color w:val="000000"/>
                <w:sz w:val="22"/>
              </w:rPr>
            </w:pPr>
            <w:r>
              <w:rPr>
                <w:rFonts w:hint="eastAsia" w:ascii="宋体" w:hAnsi="宋体" w:eastAsia="宋体" w:cs="宋体"/>
                <w:color w:val="000000"/>
                <w:sz w:val="22"/>
              </w:rPr>
              <w:t>产教融合</w:t>
            </w:r>
          </w:p>
        </w:tc>
        <w:tc>
          <w:tcPr>
            <w:tcW w:w="457" w:type="pct"/>
            <w:vAlign w:val="center"/>
          </w:tcPr>
          <w:p w14:paraId="0AC6E595">
            <w:pPr>
              <w:widowControl/>
              <w:jc w:val="center"/>
              <w:rPr>
                <w:rFonts w:ascii="宋体" w:hAnsi="宋体" w:eastAsia="宋体" w:cs="宋体"/>
                <w:color w:val="000000"/>
                <w:sz w:val="22"/>
              </w:rPr>
            </w:pPr>
            <w:r>
              <w:rPr>
                <w:rFonts w:hint="eastAsia" w:ascii="宋体" w:hAnsi="宋体" w:eastAsia="宋体" w:cs="宋体"/>
                <w:color w:val="000000"/>
                <w:sz w:val="22"/>
              </w:rPr>
              <w:t>ZCYJ-02</w:t>
            </w:r>
          </w:p>
        </w:tc>
        <w:tc>
          <w:tcPr>
            <w:tcW w:w="3162" w:type="pct"/>
            <w:shd w:val="clear" w:color="auto" w:fill="auto"/>
            <w:vAlign w:val="center"/>
          </w:tcPr>
          <w:p w14:paraId="0B624C9D">
            <w:pPr>
              <w:widowControl/>
              <w:rPr>
                <w:rFonts w:ascii="宋体" w:hAnsi="宋体" w:eastAsia="宋体" w:cs="宋体"/>
                <w:color w:val="000000"/>
                <w:sz w:val="22"/>
              </w:rPr>
            </w:pPr>
            <w:r>
              <w:rPr>
                <w:rFonts w:hint="eastAsia" w:ascii="宋体" w:hAnsi="宋体" w:eastAsia="宋体" w:cs="宋体"/>
                <w:color w:val="000000"/>
                <w:sz w:val="22"/>
              </w:rPr>
              <w:t>以职业教育“一体两翼”改革为背景，围绕安徽省产业创新发展需求，梳理分析职业教育产教融合的主要进展和存在问题，重点就多元主体如何有效参与、各方资源如何有效集聚、协同机制如何有效运行、政策和制度如何优化供给等方面提出改进对策。</w:t>
            </w:r>
          </w:p>
        </w:tc>
        <w:tc>
          <w:tcPr>
            <w:tcW w:w="315" w:type="pct"/>
            <w:shd w:val="clear" w:color="auto" w:fill="auto"/>
            <w:vAlign w:val="center"/>
          </w:tcPr>
          <w:p w14:paraId="5521E173">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5259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05" w:type="pct"/>
            <w:vMerge w:val="restart"/>
            <w:shd w:val="clear" w:color="auto" w:fill="auto"/>
            <w:vAlign w:val="center"/>
          </w:tcPr>
          <w:p w14:paraId="27AA14C5">
            <w:pPr>
              <w:widowControl/>
              <w:jc w:val="center"/>
              <w:rPr>
                <w:rFonts w:ascii="宋体" w:hAnsi="宋体" w:eastAsia="宋体" w:cs="宋体"/>
                <w:color w:val="000000"/>
                <w:sz w:val="22"/>
              </w:rPr>
            </w:pPr>
            <w:r>
              <w:rPr>
                <w:rFonts w:hint="eastAsia" w:ascii="宋体" w:hAnsi="宋体" w:eastAsia="宋体" w:cs="宋体"/>
                <w:color w:val="000000"/>
                <w:sz w:val="22"/>
              </w:rPr>
              <w:t>教学改革</w:t>
            </w:r>
          </w:p>
        </w:tc>
        <w:tc>
          <w:tcPr>
            <w:tcW w:w="661" w:type="pct"/>
            <w:vMerge w:val="restart"/>
            <w:shd w:val="clear" w:color="auto" w:fill="auto"/>
            <w:vAlign w:val="center"/>
          </w:tcPr>
          <w:p w14:paraId="42EB81C3">
            <w:pPr>
              <w:widowControl/>
              <w:jc w:val="center"/>
              <w:rPr>
                <w:rFonts w:ascii="宋体" w:hAnsi="宋体" w:eastAsia="宋体" w:cs="宋体"/>
                <w:color w:val="000000"/>
                <w:sz w:val="22"/>
              </w:rPr>
            </w:pPr>
            <w:r>
              <w:rPr>
                <w:rFonts w:hint="eastAsia" w:ascii="宋体" w:hAnsi="宋体" w:eastAsia="宋体" w:cs="宋体"/>
                <w:color w:val="000000"/>
                <w:sz w:val="22"/>
              </w:rPr>
              <w:t>“金课”建设</w:t>
            </w:r>
          </w:p>
        </w:tc>
        <w:tc>
          <w:tcPr>
            <w:tcW w:w="457" w:type="pct"/>
            <w:vAlign w:val="center"/>
          </w:tcPr>
          <w:p w14:paraId="5FDDF885">
            <w:pPr>
              <w:widowControl/>
              <w:jc w:val="center"/>
              <w:rPr>
                <w:rFonts w:ascii="宋体" w:hAnsi="宋体" w:eastAsia="宋体" w:cs="宋体"/>
                <w:color w:val="000000"/>
                <w:sz w:val="22"/>
              </w:rPr>
            </w:pPr>
            <w:r>
              <w:rPr>
                <w:rFonts w:hint="eastAsia" w:ascii="宋体" w:hAnsi="宋体" w:eastAsia="宋体" w:cs="宋体"/>
                <w:color w:val="000000"/>
                <w:sz w:val="22"/>
              </w:rPr>
              <w:t>JXGG-01</w:t>
            </w:r>
            <w:r>
              <w:rPr>
                <w:rFonts w:ascii="宋体" w:hAnsi="宋体" w:eastAsia="宋体" w:cs="宋体"/>
                <w:color w:val="000000"/>
                <w:sz w:val="22"/>
              </w:rPr>
              <w:t>A</w:t>
            </w:r>
          </w:p>
        </w:tc>
        <w:tc>
          <w:tcPr>
            <w:tcW w:w="3162" w:type="pct"/>
            <w:shd w:val="clear" w:color="auto" w:fill="auto"/>
            <w:vAlign w:val="center"/>
          </w:tcPr>
          <w:p w14:paraId="6193E89F">
            <w:pPr>
              <w:widowControl/>
              <w:rPr>
                <w:rFonts w:ascii="宋体" w:hAnsi="宋体" w:eastAsia="宋体" w:cs="宋体"/>
                <w:color w:val="000000"/>
                <w:sz w:val="22"/>
              </w:rPr>
            </w:pPr>
            <w:r>
              <w:rPr>
                <w:rFonts w:hint="eastAsia" w:ascii="宋体" w:hAnsi="宋体" w:eastAsia="宋体" w:cs="宋体"/>
                <w:color w:val="000000"/>
                <w:sz w:val="22"/>
              </w:rPr>
              <w:t>基于鸿蒙OS/昇思AI/欧拉OS/高斯DB技术成功开发1门专业课程，将该课程融入到专业人才培养方案课程体系内，完成1轮及以上校内授课。</w:t>
            </w:r>
          </w:p>
        </w:tc>
        <w:tc>
          <w:tcPr>
            <w:tcW w:w="315" w:type="pct"/>
            <w:shd w:val="clear" w:color="auto" w:fill="auto"/>
            <w:vAlign w:val="center"/>
          </w:tcPr>
          <w:p w14:paraId="02500198">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0AF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05" w:type="pct"/>
            <w:vMerge w:val="continue"/>
            <w:vAlign w:val="center"/>
          </w:tcPr>
          <w:p w14:paraId="5AD7434C">
            <w:pPr>
              <w:widowControl/>
              <w:rPr>
                <w:rFonts w:ascii="宋体" w:hAnsi="宋体" w:eastAsia="宋体" w:cs="宋体"/>
                <w:color w:val="000000"/>
                <w:sz w:val="22"/>
              </w:rPr>
            </w:pPr>
          </w:p>
        </w:tc>
        <w:tc>
          <w:tcPr>
            <w:tcW w:w="661" w:type="pct"/>
            <w:vMerge w:val="continue"/>
            <w:vAlign w:val="center"/>
          </w:tcPr>
          <w:p w14:paraId="0F3D8F0F">
            <w:pPr>
              <w:widowControl/>
              <w:rPr>
                <w:rFonts w:ascii="宋体" w:hAnsi="宋体" w:eastAsia="宋体" w:cs="宋体"/>
                <w:color w:val="000000"/>
                <w:sz w:val="22"/>
              </w:rPr>
            </w:pPr>
          </w:p>
        </w:tc>
        <w:tc>
          <w:tcPr>
            <w:tcW w:w="457" w:type="pct"/>
            <w:vAlign w:val="center"/>
          </w:tcPr>
          <w:p w14:paraId="47A5DAC3">
            <w:pPr>
              <w:widowControl/>
              <w:jc w:val="center"/>
              <w:rPr>
                <w:rFonts w:ascii="宋体" w:hAnsi="宋体" w:eastAsia="宋体" w:cs="宋体"/>
                <w:color w:val="000000"/>
                <w:sz w:val="22"/>
              </w:rPr>
            </w:pPr>
            <w:r>
              <w:rPr>
                <w:rFonts w:hint="eastAsia" w:ascii="宋体" w:hAnsi="宋体" w:eastAsia="宋体" w:cs="宋体"/>
                <w:color w:val="000000"/>
                <w:sz w:val="22"/>
              </w:rPr>
              <w:t>JXGG-01</w:t>
            </w:r>
            <w:r>
              <w:rPr>
                <w:rFonts w:ascii="宋体" w:hAnsi="宋体" w:eastAsia="宋体" w:cs="宋体"/>
                <w:color w:val="000000"/>
                <w:sz w:val="22"/>
              </w:rPr>
              <w:t>B</w:t>
            </w:r>
          </w:p>
        </w:tc>
        <w:tc>
          <w:tcPr>
            <w:tcW w:w="3162" w:type="pct"/>
            <w:shd w:val="clear" w:color="auto" w:fill="auto"/>
            <w:vAlign w:val="center"/>
          </w:tcPr>
          <w:p w14:paraId="40C63A0A">
            <w:pPr>
              <w:widowControl/>
              <w:rPr>
                <w:rFonts w:ascii="宋体" w:hAnsi="宋体" w:eastAsia="宋体" w:cs="宋体"/>
                <w:color w:val="000000"/>
                <w:sz w:val="22"/>
              </w:rPr>
            </w:pPr>
            <w:r>
              <w:rPr>
                <w:rFonts w:hint="eastAsia" w:ascii="宋体" w:hAnsi="宋体" w:eastAsia="宋体" w:cs="宋体"/>
                <w:color w:val="000000"/>
                <w:sz w:val="22"/>
              </w:rPr>
              <w:t>结合人工智能技术发展与行业化应用，开发一门面向职业院校的人工智能通识课程，内容包括但不限于人工智能发展历史与趋势、关键技术与行业化应用、大模型与生成式人工智能、华为人工智能技术与行业应用等内容，资源包括授课PPT、配套题库、视频案例等，将该课程融入到专业课程体系内，完成1轮及以上校内授课。</w:t>
            </w:r>
          </w:p>
        </w:tc>
        <w:tc>
          <w:tcPr>
            <w:tcW w:w="315" w:type="pct"/>
            <w:shd w:val="clear" w:color="auto" w:fill="auto"/>
            <w:vAlign w:val="center"/>
          </w:tcPr>
          <w:p w14:paraId="0FAD6B40">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66F1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05" w:type="pct"/>
            <w:vMerge w:val="continue"/>
            <w:vAlign w:val="center"/>
          </w:tcPr>
          <w:p w14:paraId="6ECA0634">
            <w:pPr>
              <w:widowControl/>
              <w:rPr>
                <w:rFonts w:ascii="宋体" w:hAnsi="宋体" w:eastAsia="宋体" w:cs="宋体"/>
                <w:color w:val="000000"/>
                <w:sz w:val="22"/>
              </w:rPr>
            </w:pPr>
          </w:p>
        </w:tc>
        <w:tc>
          <w:tcPr>
            <w:tcW w:w="661" w:type="pct"/>
            <w:shd w:val="clear" w:color="auto" w:fill="auto"/>
            <w:vAlign w:val="center"/>
          </w:tcPr>
          <w:p w14:paraId="575CEC5B">
            <w:pPr>
              <w:widowControl/>
              <w:jc w:val="center"/>
              <w:rPr>
                <w:rFonts w:ascii="宋体" w:hAnsi="宋体" w:eastAsia="宋体" w:cs="宋体"/>
                <w:color w:val="000000"/>
                <w:sz w:val="22"/>
              </w:rPr>
            </w:pPr>
            <w:r>
              <w:rPr>
                <w:rFonts w:hint="eastAsia" w:ascii="宋体" w:hAnsi="宋体" w:eastAsia="宋体" w:cs="宋体"/>
                <w:color w:val="000000"/>
                <w:sz w:val="22"/>
              </w:rPr>
              <w:t>“金专”建设</w:t>
            </w:r>
          </w:p>
        </w:tc>
        <w:tc>
          <w:tcPr>
            <w:tcW w:w="457" w:type="pct"/>
            <w:vAlign w:val="center"/>
          </w:tcPr>
          <w:p w14:paraId="22E43574">
            <w:pPr>
              <w:widowControl/>
              <w:jc w:val="center"/>
              <w:rPr>
                <w:rFonts w:ascii="宋体" w:hAnsi="宋体" w:eastAsia="宋体" w:cs="宋体"/>
                <w:color w:val="000000"/>
                <w:sz w:val="22"/>
              </w:rPr>
            </w:pPr>
            <w:r>
              <w:rPr>
                <w:rFonts w:hint="eastAsia" w:ascii="宋体" w:hAnsi="宋体" w:eastAsia="宋体" w:cs="宋体"/>
                <w:color w:val="000000"/>
                <w:sz w:val="22"/>
              </w:rPr>
              <w:t>JXGG-02</w:t>
            </w:r>
          </w:p>
        </w:tc>
        <w:tc>
          <w:tcPr>
            <w:tcW w:w="3162" w:type="pct"/>
            <w:shd w:val="clear" w:color="auto" w:fill="auto"/>
            <w:vAlign w:val="center"/>
          </w:tcPr>
          <w:p w14:paraId="27E3672D">
            <w:pPr>
              <w:widowControl/>
              <w:rPr>
                <w:rFonts w:ascii="宋体" w:hAnsi="宋体" w:eastAsia="宋体" w:cs="宋体"/>
                <w:color w:val="000000"/>
                <w:sz w:val="22"/>
              </w:rPr>
            </w:pPr>
            <w:r>
              <w:rPr>
                <w:rFonts w:hint="eastAsia" w:ascii="宋体" w:hAnsi="宋体" w:eastAsia="宋体" w:cs="宋体"/>
                <w:color w:val="000000"/>
                <w:sz w:val="22"/>
              </w:rPr>
              <w:t>基于传统专业转型升级要解决的主要问题，分析新一代信息技术赋能新能源与智能网联汽车、智能家居、高端装备制造、智慧交通等产业以及引发的人才需求和能力模型变化，形成人才需求分析报告1份，并结合所在专业进行教学模式创新和教学内容更新，进行一次研究成果分享。</w:t>
            </w:r>
          </w:p>
        </w:tc>
        <w:tc>
          <w:tcPr>
            <w:tcW w:w="315" w:type="pct"/>
            <w:shd w:val="clear" w:color="auto" w:fill="auto"/>
            <w:vAlign w:val="center"/>
          </w:tcPr>
          <w:p w14:paraId="59FA007D">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1C3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05" w:type="pct"/>
            <w:vMerge w:val="continue"/>
            <w:vAlign w:val="center"/>
          </w:tcPr>
          <w:p w14:paraId="5E64997F">
            <w:pPr>
              <w:widowControl/>
              <w:rPr>
                <w:rFonts w:ascii="宋体" w:hAnsi="宋体" w:eastAsia="宋体" w:cs="宋体"/>
                <w:color w:val="000000"/>
                <w:sz w:val="22"/>
              </w:rPr>
            </w:pPr>
          </w:p>
        </w:tc>
        <w:tc>
          <w:tcPr>
            <w:tcW w:w="661" w:type="pct"/>
            <w:shd w:val="clear" w:color="auto" w:fill="auto"/>
            <w:vAlign w:val="center"/>
          </w:tcPr>
          <w:p w14:paraId="5461843D">
            <w:pPr>
              <w:widowControl/>
              <w:jc w:val="center"/>
              <w:rPr>
                <w:rFonts w:ascii="宋体" w:hAnsi="宋体" w:eastAsia="宋体" w:cs="宋体"/>
                <w:color w:val="000000"/>
                <w:sz w:val="22"/>
              </w:rPr>
            </w:pPr>
            <w:r>
              <w:rPr>
                <w:rFonts w:hint="eastAsia" w:ascii="宋体" w:hAnsi="宋体" w:eastAsia="宋体" w:cs="宋体"/>
                <w:color w:val="000000"/>
                <w:sz w:val="22"/>
              </w:rPr>
              <w:t>“金教材”建设</w:t>
            </w:r>
          </w:p>
        </w:tc>
        <w:tc>
          <w:tcPr>
            <w:tcW w:w="457" w:type="pct"/>
            <w:vAlign w:val="center"/>
          </w:tcPr>
          <w:p w14:paraId="3C1AEF9A">
            <w:pPr>
              <w:widowControl/>
              <w:jc w:val="center"/>
              <w:rPr>
                <w:rFonts w:ascii="宋体" w:hAnsi="宋体" w:eastAsia="宋体" w:cs="宋体"/>
                <w:color w:val="000000"/>
                <w:sz w:val="22"/>
              </w:rPr>
            </w:pPr>
            <w:r>
              <w:rPr>
                <w:rFonts w:hint="eastAsia" w:ascii="宋体" w:hAnsi="宋体" w:eastAsia="宋体" w:cs="宋体"/>
                <w:color w:val="000000"/>
                <w:sz w:val="22"/>
              </w:rPr>
              <w:t>JXGG-03</w:t>
            </w:r>
          </w:p>
        </w:tc>
        <w:tc>
          <w:tcPr>
            <w:tcW w:w="3162" w:type="pct"/>
            <w:shd w:val="clear" w:color="auto" w:fill="auto"/>
            <w:vAlign w:val="center"/>
          </w:tcPr>
          <w:p w14:paraId="7066BFCF">
            <w:pPr>
              <w:widowControl/>
              <w:rPr>
                <w:rFonts w:ascii="宋体" w:hAnsi="宋体" w:eastAsia="宋体" w:cs="宋体"/>
                <w:color w:val="000000"/>
                <w:sz w:val="22"/>
              </w:rPr>
            </w:pPr>
            <w:r>
              <w:rPr>
                <w:rFonts w:hint="eastAsia" w:ascii="宋体" w:hAnsi="宋体" w:eastAsia="宋体" w:cs="宋体"/>
                <w:color w:val="000000"/>
                <w:sz w:val="22"/>
              </w:rPr>
              <w:t>基于鸿蒙OS/昇思AI/欧拉OS/高斯DB等技术发展以及在高校教学、实训、赛事、双创等方面的落地情况，规划课程大纲、整理课程资源、沉淀案例素材，编纂整理公开出版发行教材1本。</w:t>
            </w:r>
          </w:p>
        </w:tc>
        <w:tc>
          <w:tcPr>
            <w:tcW w:w="315" w:type="pct"/>
            <w:shd w:val="clear" w:color="auto" w:fill="auto"/>
            <w:vAlign w:val="center"/>
          </w:tcPr>
          <w:p w14:paraId="30D95260">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6FD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05" w:type="pct"/>
            <w:shd w:val="clear" w:color="auto" w:fill="auto"/>
            <w:vAlign w:val="center"/>
          </w:tcPr>
          <w:p w14:paraId="7599D4C2">
            <w:pPr>
              <w:widowControl/>
              <w:jc w:val="center"/>
              <w:rPr>
                <w:rFonts w:ascii="宋体" w:hAnsi="宋体" w:eastAsia="宋体" w:cs="宋体"/>
                <w:color w:val="000000"/>
                <w:sz w:val="22"/>
              </w:rPr>
            </w:pPr>
            <w:r>
              <w:rPr>
                <w:rFonts w:hint="eastAsia" w:ascii="宋体" w:hAnsi="宋体" w:eastAsia="宋体" w:cs="宋体"/>
                <w:color w:val="000000"/>
                <w:sz w:val="22"/>
              </w:rPr>
              <w:t>教学改革</w:t>
            </w:r>
          </w:p>
        </w:tc>
        <w:tc>
          <w:tcPr>
            <w:tcW w:w="661" w:type="pct"/>
            <w:shd w:val="clear" w:color="auto" w:fill="auto"/>
            <w:vAlign w:val="center"/>
          </w:tcPr>
          <w:p w14:paraId="29840BE4">
            <w:pPr>
              <w:widowControl/>
              <w:jc w:val="center"/>
              <w:rPr>
                <w:rFonts w:ascii="宋体" w:hAnsi="宋体" w:eastAsia="宋体" w:cs="宋体"/>
                <w:color w:val="000000"/>
                <w:sz w:val="22"/>
              </w:rPr>
            </w:pPr>
            <w:r>
              <w:rPr>
                <w:rFonts w:hint="eastAsia" w:ascii="宋体" w:hAnsi="宋体" w:eastAsia="宋体" w:cs="宋体"/>
                <w:color w:val="000000"/>
                <w:sz w:val="22"/>
              </w:rPr>
              <w:t>“金基地”建设</w:t>
            </w:r>
          </w:p>
        </w:tc>
        <w:tc>
          <w:tcPr>
            <w:tcW w:w="457" w:type="pct"/>
            <w:vAlign w:val="center"/>
          </w:tcPr>
          <w:p w14:paraId="49C8F595">
            <w:pPr>
              <w:widowControl/>
              <w:jc w:val="center"/>
              <w:rPr>
                <w:rFonts w:ascii="宋体" w:hAnsi="宋体" w:eastAsia="宋体" w:cs="宋体"/>
                <w:color w:val="000000"/>
                <w:sz w:val="22"/>
              </w:rPr>
            </w:pPr>
            <w:r>
              <w:rPr>
                <w:rFonts w:hint="eastAsia" w:ascii="宋体" w:hAnsi="宋体" w:eastAsia="宋体" w:cs="宋体"/>
                <w:color w:val="000000"/>
                <w:sz w:val="22"/>
              </w:rPr>
              <w:t>JXGG-04</w:t>
            </w:r>
          </w:p>
        </w:tc>
        <w:tc>
          <w:tcPr>
            <w:tcW w:w="3162" w:type="pct"/>
            <w:shd w:val="clear" w:color="auto" w:fill="auto"/>
            <w:vAlign w:val="center"/>
          </w:tcPr>
          <w:p w14:paraId="3D82211B">
            <w:pPr>
              <w:widowControl/>
              <w:rPr>
                <w:rFonts w:ascii="宋体" w:hAnsi="宋体" w:eastAsia="宋体" w:cs="宋体"/>
                <w:color w:val="000000"/>
                <w:sz w:val="22"/>
              </w:rPr>
            </w:pPr>
            <w:r>
              <w:rPr>
                <w:rFonts w:hint="eastAsia" w:ascii="宋体" w:hAnsi="宋体" w:eastAsia="宋体" w:cs="宋体"/>
                <w:color w:val="000000"/>
                <w:sz w:val="22"/>
              </w:rPr>
              <w:t xml:space="preserve">结合华为自主创新根技术和院校人才培养优势，成功在本校搭建符合行业与教学需求的根技术人才培养与实训实践基地，并基于基地开展人才培养、双创活动、对外服务等；或与安徽省内公共实训基地合作开展对外社会培训、技能鉴定、技术支持等服务，进行教科研成果转化，到账金额或合同金额3万元以上。 </w:t>
            </w:r>
          </w:p>
        </w:tc>
        <w:tc>
          <w:tcPr>
            <w:tcW w:w="315" w:type="pct"/>
            <w:shd w:val="clear" w:color="auto" w:fill="auto"/>
            <w:vAlign w:val="center"/>
          </w:tcPr>
          <w:p w14:paraId="443CE9B1">
            <w:pPr>
              <w:widowControl/>
              <w:jc w:val="center"/>
              <w:rPr>
                <w:rFonts w:ascii="宋体" w:hAnsi="宋体" w:eastAsia="宋体" w:cs="宋体"/>
                <w:color w:val="000000"/>
                <w:sz w:val="22"/>
              </w:rPr>
            </w:pPr>
            <w:r>
              <w:rPr>
                <w:rFonts w:hint="eastAsia" w:ascii="宋体" w:hAnsi="宋体" w:eastAsia="宋体" w:cs="宋体"/>
                <w:color w:val="000000"/>
                <w:sz w:val="22"/>
              </w:rPr>
              <w:t>2</w:t>
            </w:r>
          </w:p>
        </w:tc>
      </w:tr>
      <w:tr w14:paraId="3C4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5" w:type="pct"/>
            <w:vMerge w:val="restart"/>
            <w:shd w:val="clear" w:color="auto" w:fill="auto"/>
            <w:vAlign w:val="center"/>
          </w:tcPr>
          <w:p w14:paraId="32ABF0EF">
            <w:pPr>
              <w:widowControl/>
              <w:jc w:val="center"/>
              <w:rPr>
                <w:rFonts w:ascii="宋体" w:hAnsi="宋体" w:eastAsia="宋体" w:cs="宋体"/>
                <w:color w:val="000000"/>
                <w:sz w:val="22"/>
              </w:rPr>
            </w:pPr>
            <w:r>
              <w:rPr>
                <w:rFonts w:hint="eastAsia" w:ascii="宋体" w:hAnsi="宋体" w:eastAsia="宋体" w:cs="宋体"/>
                <w:color w:val="000000"/>
                <w:sz w:val="22"/>
              </w:rPr>
              <w:t>师资培育</w:t>
            </w:r>
          </w:p>
        </w:tc>
        <w:tc>
          <w:tcPr>
            <w:tcW w:w="661" w:type="pct"/>
            <w:vMerge w:val="restart"/>
            <w:shd w:val="clear" w:color="auto" w:fill="auto"/>
            <w:vAlign w:val="center"/>
          </w:tcPr>
          <w:p w14:paraId="0946CBFB">
            <w:pPr>
              <w:widowControl/>
              <w:jc w:val="center"/>
              <w:rPr>
                <w:rFonts w:ascii="宋体" w:hAnsi="宋体" w:eastAsia="宋体" w:cs="宋体"/>
                <w:color w:val="000000"/>
                <w:sz w:val="22"/>
              </w:rPr>
            </w:pPr>
            <w:r>
              <w:rPr>
                <w:rFonts w:hint="eastAsia" w:ascii="宋体" w:hAnsi="宋体" w:eastAsia="宋体" w:cs="宋体"/>
                <w:color w:val="000000"/>
                <w:sz w:val="22"/>
              </w:rPr>
              <w:t>“金师资”建设</w:t>
            </w:r>
          </w:p>
        </w:tc>
        <w:tc>
          <w:tcPr>
            <w:tcW w:w="457" w:type="pct"/>
            <w:vAlign w:val="center"/>
          </w:tcPr>
          <w:p w14:paraId="7C0C16C6">
            <w:pPr>
              <w:widowControl/>
              <w:jc w:val="center"/>
              <w:rPr>
                <w:rFonts w:ascii="宋体" w:hAnsi="宋体" w:eastAsia="宋体" w:cs="宋体"/>
                <w:color w:val="000000"/>
                <w:sz w:val="22"/>
              </w:rPr>
            </w:pPr>
            <w:r>
              <w:rPr>
                <w:rFonts w:hint="eastAsia" w:ascii="宋体" w:hAnsi="宋体" w:eastAsia="宋体" w:cs="宋体"/>
                <w:color w:val="000000"/>
                <w:sz w:val="22"/>
              </w:rPr>
              <w:t>SZPY-01</w:t>
            </w:r>
            <w:r>
              <w:rPr>
                <w:rFonts w:ascii="宋体" w:hAnsi="宋体" w:eastAsia="宋体" w:cs="宋体"/>
                <w:color w:val="000000"/>
                <w:sz w:val="22"/>
              </w:rPr>
              <w:t>A</w:t>
            </w:r>
          </w:p>
        </w:tc>
        <w:tc>
          <w:tcPr>
            <w:tcW w:w="3162" w:type="pct"/>
            <w:shd w:val="clear" w:color="auto" w:fill="auto"/>
            <w:vAlign w:val="center"/>
          </w:tcPr>
          <w:p w14:paraId="76D2ABC7">
            <w:pPr>
              <w:widowControl/>
              <w:rPr>
                <w:rFonts w:ascii="宋体" w:hAnsi="宋体" w:eastAsia="宋体" w:cs="宋体"/>
                <w:color w:val="000000"/>
                <w:sz w:val="22"/>
              </w:rPr>
            </w:pPr>
            <w:r>
              <w:rPr>
                <w:rFonts w:hint="eastAsia" w:ascii="宋体" w:hAnsi="宋体" w:eastAsia="宋体" w:cs="宋体"/>
                <w:color w:val="000000"/>
                <w:sz w:val="22"/>
              </w:rPr>
              <w:t>基于SDN、IPV6/IPV6+等新一代数据通信网络技术，利用网络设备及网络虚拟仿真平台，成功开展不少于30人规模的师资培训活动，期间开展不少于一次的教学研讨，最终将形成课程建设标准、人才培养方案修订及完善课程体系等成熟成果，为专业发展提供有力支持。</w:t>
            </w:r>
          </w:p>
        </w:tc>
        <w:tc>
          <w:tcPr>
            <w:tcW w:w="315" w:type="pct"/>
            <w:shd w:val="clear" w:color="auto" w:fill="auto"/>
            <w:vAlign w:val="center"/>
          </w:tcPr>
          <w:p w14:paraId="0B14E942">
            <w:pPr>
              <w:widowControl/>
              <w:jc w:val="center"/>
              <w:rPr>
                <w:rFonts w:ascii="宋体" w:hAnsi="宋体" w:eastAsia="宋体" w:cs="宋体"/>
                <w:color w:val="000000"/>
                <w:sz w:val="22"/>
              </w:rPr>
            </w:pPr>
            <w:r>
              <w:rPr>
                <w:rFonts w:hint="eastAsia" w:ascii="宋体" w:hAnsi="宋体" w:eastAsia="宋体" w:cs="宋体"/>
                <w:color w:val="000000"/>
                <w:sz w:val="22"/>
              </w:rPr>
              <w:t>1</w:t>
            </w:r>
          </w:p>
        </w:tc>
      </w:tr>
      <w:tr w14:paraId="6693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5" w:type="pct"/>
            <w:vMerge w:val="continue"/>
            <w:vAlign w:val="center"/>
          </w:tcPr>
          <w:p w14:paraId="46134C7D">
            <w:pPr>
              <w:widowControl/>
              <w:rPr>
                <w:rFonts w:ascii="宋体" w:hAnsi="宋体" w:eastAsia="宋体" w:cs="宋体"/>
                <w:color w:val="000000"/>
                <w:sz w:val="22"/>
              </w:rPr>
            </w:pPr>
          </w:p>
        </w:tc>
        <w:tc>
          <w:tcPr>
            <w:tcW w:w="661" w:type="pct"/>
            <w:vMerge w:val="continue"/>
            <w:vAlign w:val="center"/>
          </w:tcPr>
          <w:p w14:paraId="6D6A1EAA">
            <w:pPr>
              <w:widowControl/>
              <w:rPr>
                <w:rFonts w:ascii="宋体" w:hAnsi="宋体" w:eastAsia="宋体" w:cs="宋体"/>
                <w:color w:val="000000"/>
                <w:sz w:val="22"/>
              </w:rPr>
            </w:pPr>
          </w:p>
        </w:tc>
        <w:tc>
          <w:tcPr>
            <w:tcW w:w="457" w:type="pct"/>
            <w:vAlign w:val="center"/>
          </w:tcPr>
          <w:p w14:paraId="1B2755FF">
            <w:pPr>
              <w:widowControl/>
              <w:jc w:val="center"/>
              <w:rPr>
                <w:rFonts w:ascii="宋体" w:hAnsi="宋体" w:eastAsia="宋体" w:cs="宋体"/>
                <w:color w:val="000000"/>
                <w:sz w:val="22"/>
              </w:rPr>
            </w:pPr>
            <w:r>
              <w:rPr>
                <w:rFonts w:hint="eastAsia" w:ascii="宋体" w:hAnsi="宋体" w:eastAsia="宋体" w:cs="宋体"/>
                <w:color w:val="000000"/>
                <w:sz w:val="22"/>
              </w:rPr>
              <w:t>SZPY-01</w:t>
            </w:r>
            <w:r>
              <w:rPr>
                <w:rFonts w:ascii="宋体" w:hAnsi="宋体" w:eastAsia="宋体" w:cs="宋体"/>
                <w:color w:val="000000"/>
                <w:sz w:val="22"/>
              </w:rPr>
              <w:t>B</w:t>
            </w:r>
          </w:p>
        </w:tc>
        <w:tc>
          <w:tcPr>
            <w:tcW w:w="3162" w:type="pct"/>
            <w:shd w:val="clear" w:color="auto" w:fill="auto"/>
            <w:vAlign w:val="center"/>
          </w:tcPr>
          <w:p w14:paraId="4F1AE363">
            <w:pPr>
              <w:widowControl/>
              <w:rPr>
                <w:rFonts w:ascii="宋体" w:hAnsi="宋体" w:eastAsia="宋体" w:cs="宋体"/>
                <w:color w:val="000000"/>
                <w:sz w:val="22"/>
              </w:rPr>
            </w:pPr>
            <w:r>
              <w:rPr>
                <w:rFonts w:hint="eastAsia" w:ascii="宋体" w:hAnsi="宋体" w:eastAsia="宋体" w:cs="宋体"/>
                <w:color w:val="000000"/>
                <w:sz w:val="22"/>
              </w:rPr>
              <w:t>基于原生HarmonyOS应用开发技术或OpenHarmony设备开发技术，成功开展不少于30人的师资培训活动，期间开展不少于一次的教学研讨，最终将形成课程建设标准、人才培养方案修订及完善课程体系等成熟成果，为专业发展提供有力支持。</w:t>
            </w:r>
          </w:p>
        </w:tc>
        <w:tc>
          <w:tcPr>
            <w:tcW w:w="315" w:type="pct"/>
            <w:shd w:val="clear" w:color="auto" w:fill="auto"/>
            <w:vAlign w:val="center"/>
          </w:tcPr>
          <w:p w14:paraId="55923F4E">
            <w:pPr>
              <w:widowControl/>
              <w:jc w:val="center"/>
              <w:rPr>
                <w:rFonts w:ascii="宋体" w:hAnsi="宋体" w:eastAsia="宋体" w:cs="宋体"/>
                <w:color w:val="000000"/>
                <w:sz w:val="22"/>
              </w:rPr>
            </w:pPr>
            <w:r>
              <w:rPr>
                <w:rFonts w:hint="eastAsia" w:ascii="宋体" w:hAnsi="宋体" w:eastAsia="宋体" w:cs="宋体"/>
                <w:color w:val="000000"/>
                <w:sz w:val="22"/>
              </w:rPr>
              <w:t>1</w:t>
            </w:r>
          </w:p>
        </w:tc>
      </w:tr>
    </w:tbl>
    <w:p w14:paraId="651440D0">
      <w:pPr>
        <w:spacing w:line="600" w:lineRule="exact"/>
        <w:rPr>
          <w:rFonts w:hint="eastAsia" w:ascii="方正仿宋_GBK" w:eastAsia="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8" w:right="1440" w:bottom="141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508726"/>
      <w:docPartObj>
        <w:docPartGallery w:val="autotext"/>
      </w:docPartObj>
    </w:sdtPr>
    <w:sdtEndPr>
      <w:rPr>
        <w:rFonts w:ascii="宋体" w:hAnsi="宋体" w:eastAsia="宋体"/>
        <w:sz w:val="24"/>
        <w:szCs w:val="24"/>
      </w:rPr>
    </w:sdtEndPr>
    <w:sdtContent>
      <w:p w14:paraId="6A67EF57">
        <w:pPr>
          <w:pStyle w:val="5"/>
          <w:ind w:firstLine="361"/>
          <w:jc w:val="center"/>
          <w:rPr>
            <w:rFonts w:ascii="宋体" w:hAnsi="宋体" w:eastAsia="宋体"/>
            <w:sz w:val="24"/>
            <w:szCs w:val="24"/>
          </w:rPr>
        </w:pPr>
        <w:r>
          <w:rPr>
            <w:rFonts w:ascii="宋体" w:hAnsi="宋体" w:eastAsia="宋体"/>
            <w:b w:val="0"/>
            <w:bCs/>
            <w:sz w:val="24"/>
            <w:szCs w:val="24"/>
          </w:rPr>
          <w:fldChar w:fldCharType="begin"/>
        </w:r>
        <w:r>
          <w:rPr>
            <w:rFonts w:ascii="宋体" w:hAnsi="宋体" w:eastAsia="宋体"/>
            <w:b w:val="0"/>
            <w:bCs/>
            <w:sz w:val="24"/>
            <w:szCs w:val="24"/>
          </w:rPr>
          <w:instrText xml:space="preserve">PAGE   \* MERGEFORMAT</w:instrText>
        </w:r>
        <w:r>
          <w:rPr>
            <w:rFonts w:ascii="宋体" w:hAnsi="宋体" w:eastAsia="宋体"/>
            <w:b w:val="0"/>
            <w:bCs/>
            <w:sz w:val="24"/>
            <w:szCs w:val="24"/>
          </w:rPr>
          <w:fldChar w:fldCharType="separate"/>
        </w:r>
        <w:r>
          <w:rPr>
            <w:rFonts w:ascii="宋体" w:hAnsi="宋体" w:eastAsia="宋体"/>
            <w:b w:val="0"/>
            <w:bCs/>
            <w:sz w:val="24"/>
            <w:szCs w:val="24"/>
            <w:lang w:val="zh-CN"/>
          </w:rPr>
          <w:t>2</w:t>
        </w:r>
        <w:r>
          <w:rPr>
            <w:rFonts w:ascii="宋体" w:hAnsi="宋体" w:eastAsia="宋体"/>
            <w:b w:val="0"/>
            <w:bCs/>
            <w:sz w:val="24"/>
            <w:szCs w:val="24"/>
          </w:rPr>
          <w:fldChar w:fldCharType="end"/>
        </w:r>
      </w:p>
    </w:sdtContent>
  </w:sdt>
  <w:p w14:paraId="580C318F">
    <w:pPr>
      <w:pStyle w:val="5"/>
      <w:ind w:firstLine="482"/>
      <w:rPr>
        <w:rFonts w:ascii="仿宋" w:hAnsi="仿宋" w:eastAsia="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7E48">
    <w:pPr>
      <w:pStyle w:val="5"/>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18DC">
    <w:pPr>
      <w:pStyle w:val="5"/>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EC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6427">
    <w:pPr>
      <w:pStyle w:val="6"/>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4342">
    <w:pPr>
      <w:pStyle w:val="6"/>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DQ4NmRlN2ZiMzVhMmM2MWZmODljNDIzZWIzYjIifQ=="/>
  </w:docVars>
  <w:rsids>
    <w:rsidRoot w:val="00B55F93"/>
    <w:rsid w:val="0007323B"/>
    <w:rsid w:val="000C7085"/>
    <w:rsid w:val="001744B0"/>
    <w:rsid w:val="0017787E"/>
    <w:rsid w:val="001D2C7E"/>
    <w:rsid w:val="001E63E3"/>
    <w:rsid w:val="00211F14"/>
    <w:rsid w:val="002C5CAD"/>
    <w:rsid w:val="0030752B"/>
    <w:rsid w:val="00315E56"/>
    <w:rsid w:val="003466CB"/>
    <w:rsid w:val="0036164F"/>
    <w:rsid w:val="003D4CE3"/>
    <w:rsid w:val="00440C71"/>
    <w:rsid w:val="004750EA"/>
    <w:rsid w:val="004E1004"/>
    <w:rsid w:val="00792BF1"/>
    <w:rsid w:val="008959FB"/>
    <w:rsid w:val="008B405D"/>
    <w:rsid w:val="0090051D"/>
    <w:rsid w:val="00957DA4"/>
    <w:rsid w:val="009A369B"/>
    <w:rsid w:val="00AE2120"/>
    <w:rsid w:val="00B43716"/>
    <w:rsid w:val="00B52D63"/>
    <w:rsid w:val="00B55F93"/>
    <w:rsid w:val="00BA3B86"/>
    <w:rsid w:val="00C60BCF"/>
    <w:rsid w:val="00CE3FD0"/>
    <w:rsid w:val="00D102EA"/>
    <w:rsid w:val="00D62D3F"/>
    <w:rsid w:val="00E763C9"/>
    <w:rsid w:val="00F10D5E"/>
    <w:rsid w:val="00F35893"/>
    <w:rsid w:val="00FA624C"/>
    <w:rsid w:val="06CB14E1"/>
    <w:rsid w:val="17575B10"/>
    <w:rsid w:val="2C56255E"/>
    <w:rsid w:val="63907BFE"/>
    <w:rsid w:val="7F9E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adjustRightInd w:val="0"/>
      <w:jc w:val="left"/>
      <w:textAlignment w:val="baseline"/>
    </w:pPr>
    <w:rPr>
      <w:rFonts w:ascii="Times New Roman" w:hAnsi="Times New Roman" w:eastAsia="宋体" w:cs="Times New Roman"/>
      <w:szCs w:val="20"/>
    </w:rPr>
  </w:style>
  <w:style w:type="paragraph" w:styleId="3">
    <w:name w:val="Plain Text"/>
    <w:basedOn w:val="1"/>
    <w:link w:val="15"/>
    <w:qFormat/>
    <w:uiPriority w:val="0"/>
    <w:rPr>
      <w:rFonts w:ascii="宋体" w:hAnsi="Courier New" w:eastAsia="宋体" w:cs="Times New Roman"/>
      <w:szCs w:val="21"/>
    </w:rPr>
  </w:style>
  <w:style w:type="paragraph" w:styleId="4">
    <w:name w:val="Date"/>
    <w:basedOn w:val="1"/>
    <w:next w:val="1"/>
    <w:link w:val="11"/>
    <w:semiHidden/>
    <w:unhideWhenUsed/>
    <w:uiPriority w:val="99"/>
    <w:pPr>
      <w:ind w:left="100" w:leftChars="2500"/>
    </w:pPr>
  </w:style>
  <w:style w:type="paragraph" w:styleId="5">
    <w:name w:val="footer"/>
    <w:basedOn w:val="1"/>
    <w:link w:val="12"/>
    <w:unhideWhenUsed/>
    <w:qFormat/>
    <w:uiPriority w:val="99"/>
    <w:pPr>
      <w:tabs>
        <w:tab w:val="center" w:pos="4153"/>
        <w:tab w:val="right" w:pos="8306"/>
      </w:tabs>
      <w:snapToGrid w:val="0"/>
      <w:spacing w:line="240" w:lineRule="atLeast"/>
      <w:ind w:firstLine="200" w:firstLineChars="200"/>
      <w:jc w:val="left"/>
    </w:pPr>
    <w:rPr>
      <w:rFonts w:ascii="仿宋_GB2312" w:hAnsi="仿宋_GB2312" w:eastAsia="仿宋_GB2312"/>
      <w:b/>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ind w:firstLine="200" w:firstLineChars="200"/>
      <w:jc w:val="center"/>
    </w:pPr>
    <w:rPr>
      <w:rFonts w:ascii="仿宋_GB2312" w:hAnsi="仿宋_GB2312" w:eastAsia="仿宋_GB2312"/>
      <w:b/>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日期 字符"/>
    <w:basedOn w:val="9"/>
    <w:link w:val="4"/>
    <w:semiHidden/>
    <w:qFormat/>
    <w:uiPriority w:val="99"/>
  </w:style>
  <w:style w:type="character" w:customStyle="1" w:styleId="12">
    <w:name w:val="页脚 字符"/>
    <w:basedOn w:val="9"/>
    <w:link w:val="5"/>
    <w:qFormat/>
    <w:uiPriority w:val="99"/>
    <w:rPr>
      <w:rFonts w:ascii="仿宋_GB2312" w:hAnsi="仿宋_GB2312" w:eastAsia="仿宋_GB2312"/>
      <w:b/>
      <w:sz w:val="18"/>
      <w:szCs w:val="18"/>
    </w:rPr>
  </w:style>
  <w:style w:type="character" w:customStyle="1" w:styleId="13">
    <w:name w:val="页眉 字符"/>
    <w:basedOn w:val="9"/>
    <w:link w:val="6"/>
    <w:qFormat/>
    <w:uiPriority w:val="99"/>
    <w:rPr>
      <w:rFonts w:ascii="仿宋_GB2312" w:hAnsi="仿宋_GB2312" w:eastAsia="仿宋_GB2312"/>
      <w:b/>
      <w:sz w:val="18"/>
      <w:szCs w:val="18"/>
    </w:rPr>
  </w:style>
  <w:style w:type="character" w:customStyle="1" w:styleId="14">
    <w:name w:val="正文文本 字符"/>
    <w:basedOn w:val="9"/>
    <w:link w:val="2"/>
    <w:uiPriority w:val="0"/>
    <w:rPr>
      <w:rFonts w:ascii="Times New Roman" w:hAnsi="Times New Roman" w:eastAsia="宋体" w:cs="Times New Roman"/>
      <w:szCs w:val="20"/>
    </w:rPr>
  </w:style>
  <w:style w:type="character" w:customStyle="1" w:styleId="15">
    <w:name w:val="纯文本 字符"/>
    <w:basedOn w:val="9"/>
    <w:link w:val="3"/>
    <w:qFormat/>
    <w:uiPriority w:val="0"/>
    <w:rPr>
      <w:rFonts w:ascii="宋体" w:hAnsi="Courier New" w:eastAsia="宋体" w:cs="Times New Roman"/>
      <w:szCs w:val="21"/>
    </w:rPr>
  </w:style>
  <w:style w:type="paragraph" w:customStyle="1" w:styleId="16">
    <w:name w:val="Table Text"/>
    <w:basedOn w:val="1"/>
    <w:autoRedefine/>
    <w:semiHidden/>
    <w:qFormat/>
    <w:uiPriority w:val="0"/>
    <w:pPr>
      <w:jc w:val="center"/>
    </w:pPr>
    <w:rPr>
      <w:rFonts w:ascii="Arial" w:hAnsi="Arial" w:eastAsia="Arial" w:cs="Arial"/>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1109</Words>
  <Characters>1217</Characters>
  <Lines>9</Lines>
  <Paragraphs>2</Paragraphs>
  <TotalTime>2</TotalTime>
  <ScaleCrop>false</ScaleCrop>
  <LinksUpToDate>false</LinksUpToDate>
  <CharactersWithSpaces>1221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2024-11-21T07:09:00Z</dcterms:created>
  <dc:creator>yiming wu</dc:creator>
  <cp:lastModifiedBy>Lily</cp:lastModifiedBy>
  <cp:lastPrinted>2024-11-21T01:14:00Z</cp:lastPrinted>
  <dcterms:modified xsi:type="dcterms:W3CDTF">2024-11-21T08:24:01Z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A0756191DB7C4E0B84B13099A8F6B9B4_13</vt:lpwstr>
  </property>
</Properties>
</file>