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8080D">
      <w:pPr>
        <w:pStyle w:val="3"/>
        <w:numPr>
          <w:ilvl w:val="0"/>
          <w:numId w:val="0"/>
        </w:numPr>
        <w:tabs>
          <w:tab w:val="clear" w:pos="1440"/>
          <w:tab w:val="clear" w:pos="5670"/>
        </w:tabs>
        <w:spacing w:beforeLines="0" w:afterLines="0"/>
        <w:jc w:val="center"/>
        <w:rPr>
          <w:rFonts w:hint="eastAsia" w:ascii="Arial" w:hAnsi="Arial"/>
          <w:color w:val="000000"/>
          <w:kern w:val="2"/>
          <w:sz w:val="32"/>
          <w:szCs w:val="32"/>
          <w:highlight w:val="none"/>
          <w:lang w:val="en-US" w:eastAsia="zh-CN"/>
        </w:rPr>
      </w:pPr>
      <w:bookmarkStart w:id="0" w:name="_Toc12353"/>
      <w:r>
        <w:rPr>
          <w:rFonts w:hint="eastAsia" w:ascii="Arial" w:hAnsi="Arial"/>
          <w:color w:val="000000"/>
          <w:kern w:val="2"/>
          <w:sz w:val="32"/>
          <w:szCs w:val="32"/>
          <w:highlight w:val="none"/>
          <w:lang w:val="en-US" w:eastAsia="zh-CN"/>
        </w:rPr>
        <w:t xml:space="preserve"> 采购需求</w:t>
      </w:r>
      <w:bookmarkEnd w:id="0"/>
      <w:r>
        <w:rPr>
          <w:rFonts w:hint="eastAsia" w:ascii="Arial" w:hAnsi="Arial"/>
          <w:color w:val="000000"/>
          <w:kern w:val="2"/>
          <w:sz w:val="32"/>
          <w:szCs w:val="32"/>
          <w:highlight w:val="none"/>
          <w:lang w:val="en-US" w:eastAsia="zh-CN"/>
        </w:rPr>
        <w:t>（仅供参考，以谈判文件为准）</w:t>
      </w:r>
      <w:bookmarkStart w:id="1" w:name="_GoBack"/>
      <w:bookmarkEnd w:id="1"/>
    </w:p>
    <w:p w14:paraId="2665D4EB">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一、商务要求：</w:t>
      </w:r>
    </w:p>
    <w:tbl>
      <w:tblPr>
        <w:tblStyle w:val="6"/>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20"/>
        <w:gridCol w:w="6690"/>
      </w:tblGrid>
      <w:tr w14:paraId="7520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5" w:type="dxa"/>
            <w:noWrap w:val="0"/>
            <w:vAlign w:val="center"/>
          </w:tcPr>
          <w:p w14:paraId="7E948236">
            <w:pPr>
              <w:widowControl w:val="0"/>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序号</w:t>
            </w:r>
          </w:p>
        </w:tc>
        <w:tc>
          <w:tcPr>
            <w:tcW w:w="1320" w:type="dxa"/>
            <w:noWrap w:val="0"/>
            <w:vAlign w:val="center"/>
          </w:tcPr>
          <w:p w14:paraId="0F2E9BCB">
            <w:pPr>
              <w:widowControl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条款名称</w:t>
            </w:r>
          </w:p>
        </w:tc>
        <w:tc>
          <w:tcPr>
            <w:tcW w:w="6690" w:type="dxa"/>
            <w:noWrap w:val="0"/>
            <w:vAlign w:val="center"/>
          </w:tcPr>
          <w:p w14:paraId="15F6A532">
            <w:pPr>
              <w:widowControl w:val="0"/>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具体要求内容</w:t>
            </w:r>
          </w:p>
        </w:tc>
      </w:tr>
      <w:tr w14:paraId="569B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45" w:type="dxa"/>
            <w:noWrap w:val="0"/>
            <w:vAlign w:val="center"/>
          </w:tcPr>
          <w:p w14:paraId="7D13293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20" w:type="dxa"/>
            <w:noWrap w:val="0"/>
            <w:vAlign w:val="center"/>
          </w:tcPr>
          <w:p w14:paraId="6CB7774E">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付款方式</w:t>
            </w:r>
          </w:p>
        </w:tc>
        <w:tc>
          <w:tcPr>
            <w:tcW w:w="6690" w:type="dxa"/>
            <w:noWrap w:val="0"/>
            <w:vAlign w:val="center"/>
          </w:tcPr>
          <w:p w14:paraId="36738B55">
            <w:pPr>
              <w:numPr>
                <w:ilvl w:val="0"/>
                <w:numId w:val="0"/>
              </w:numPr>
              <w:spacing w:line="240" w:lineRule="auto"/>
              <w:ind w:firstLine="840" w:firstLineChars="4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合同签订后货到验收合格后，一次性支付完毕。</w:t>
            </w:r>
          </w:p>
        </w:tc>
      </w:tr>
      <w:tr w14:paraId="7743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5887A326">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320" w:type="dxa"/>
            <w:noWrap w:val="0"/>
            <w:vAlign w:val="center"/>
          </w:tcPr>
          <w:p w14:paraId="094B3E6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服务</w:t>
            </w:r>
            <w:r>
              <w:rPr>
                <w:rFonts w:hint="eastAsia" w:ascii="仿宋" w:hAnsi="仿宋" w:eastAsia="仿宋" w:cs="仿宋"/>
                <w:color w:val="auto"/>
                <w:sz w:val="21"/>
                <w:szCs w:val="21"/>
                <w:highlight w:val="none"/>
              </w:rPr>
              <w:t>地点</w:t>
            </w:r>
          </w:p>
        </w:tc>
        <w:tc>
          <w:tcPr>
            <w:tcW w:w="6690" w:type="dxa"/>
            <w:noWrap w:val="0"/>
            <w:vAlign w:val="center"/>
          </w:tcPr>
          <w:p w14:paraId="5CE2D9E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采购人指定地点</w:t>
            </w:r>
          </w:p>
        </w:tc>
      </w:tr>
      <w:tr w14:paraId="39D5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0F1AB6AE">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320" w:type="dxa"/>
            <w:noWrap w:val="0"/>
            <w:vAlign w:val="center"/>
          </w:tcPr>
          <w:p w14:paraId="1F16C25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供货</w:t>
            </w:r>
            <w:r>
              <w:rPr>
                <w:rFonts w:hint="eastAsia" w:ascii="仿宋" w:hAnsi="仿宋" w:eastAsia="仿宋" w:cs="仿宋"/>
                <w:color w:val="auto"/>
                <w:sz w:val="21"/>
                <w:szCs w:val="21"/>
                <w:highlight w:val="none"/>
              </w:rPr>
              <w:t>期限</w:t>
            </w:r>
          </w:p>
        </w:tc>
        <w:tc>
          <w:tcPr>
            <w:tcW w:w="6690" w:type="dxa"/>
            <w:noWrap w:val="0"/>
            <w:vAlign w:val="center"/>
          </w:tcPr>
          <w:p w14:paraId="1B87D65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合同签订后10个日历天完成供货</w:t>
            </w:r>
          </w:p>
        </w:tc>
      </w:tr>
      <w:tr w14:paraId="4B23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02A58670">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1"/>
                <w:szCs w:val="21"/>
                <w:highlight w:val="none"/>
                <w:lang w:val="en-US" w:eastAsia="zh-CN"/>
              </w:rPr>
              <w:t>4</w:t>
            </w:r>
          </w:p>
        </w:tc>
        <w:tc>
          <w:tcPr>
            <w:tcW w:w="1320" w:type="dxa"/>
            <w:noWrap w:val="0"/>
            <w:vAlign w:val="center"/>
          </w:tcPr>
          <w:p w14:paraId="233D0774">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1"/>
                <w:szCs w:val="21"/>
                <w:highlight w:val="none"/>
                <w:lang w:val="en-US" w:eastAsia="zh-CN"/>
              </w:rPr>
              <w:t>结算方式</w:t>
            </w:r>
          </w:p>
        </w:tc>
        <w:tc>
          <w:tcPr>
            <w:tcW w:w="6690" w:type="dxa"/>
            <w:noWrap w:val="0"/>
            <w:vAlign w:val="center"/>
          </w:tcPr>
          <w:p w14:paraId="4FBF6BDD">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1"/>
                <w:szCs w:val="21"/>
                <w:highlight w:val="none"/>
                <w:lang w:val="en-US" w:eastAsia="zh-CN"/>
              </w:rPr>
              <w:t>根据采购人实际需求，据实结算</w:t>
            </w:r>
          </w:p>
        </w:tc>
      </w:tr>
      <w:tr w14:paraId="4777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68FFFC37">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320" w:type="dxa"/>
            <w:noWrap w:val="0"/>
            <w:vAlign w:val="center"/>
          </w:tcPr>
          <w:p w14:paraId="306B9DC1">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质保期</w:t>
            </w:r>
          </w:p>
        </w:tc>
        <w:tc>
          <w:tcPr>
            <w:tcW w:w="6690" w:type="dxa"/>
            <w:noWrap w:val="0"/>
            <w:vAlign w:val="center"/>
          </w:tcPr>
          <w:p w14:paraId="4A13A395">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r>
    </w:tbl>
    <w:p w14:paraId="04758E9F">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3389E96A">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二、报价要求</w:t>
      </w:r>
    </w:p>
    <w:p w14:paraId="7B00938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（一）响应人须充分考虑所投货物成本，报价应包含所投货物、保险、税费、包装、加工及加工损耗、运输、现场落地、安装及安装损耗、调试、检测验收和交付后约定期限内质保等工作所发生的一切应有费用。</w:t>
      </w:r>
    </w:p>
    <w:p w14:paraId="78BBEA1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二）《安庆职业技术学院2026年维修耗材采购清单》中货物的数量是计划数量，仅作为响应人报价的依据，不作为最终结算与支付的依据。在合同实施期间，采购人可以对货物数量适当增减。响应人不得以货物的实际供货数量有变化为理由要求对各种货物的单价进行变更、不得要求相关补偿(不可抗拒力除外)。</w:t>
      </w:r>
    </w:p>
    <w:p w14:paraId="3ADB887C">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三、验收</w:t>
      </w:r>
    </w:p>
    <w:p w14:paraId="3A5CF73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000000"/>
          <w:kern w:val="2"/>
          <w:sz w:val="24"/>
          <w:szCs w:val="24"/>
          <w:highlight w:val="none"/>
          <w:shd w:val="clear" w:color="auto" w:fill="auto"/>
          <w:lang w:val="en-US" w:eastAsia="zh-CN" w:bidi="ar-SA"/>
        </w:rPr>
      </w:pPr>
      <w:r>
        <w:rPr>
          <w:rFonts w:hint="eastAsia" w:ascii="仿宋" w:hAnsi="仿宋" w:eastAsia="仿宋" w:cs="仿宋"/>
          <w:b w:val="0"/>
          <w:bCs/>
          <w:color w:val="000000"/>
          <w:kern w:val="2"/>
          <w:sz w:val="24"/>
          <w:szCs w:val="24"/>
          <w:highlight w:val="none"/>
          <w:shd w:val="clear" w:color="auto" w:fill="auto"/>
          <w:lang w:val="en-US" w:eastAsia="zh-CN" w:bidi="ar-SA"/>
        </w:rPr>
        <w:t>验收由双方共同组织实施，验收结果经双方确认后生效。</w:t>
      </w:r>
    </w:p>
    <w:p w14:paraId="1807541F">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3D25ECE6">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5ABEA9B5">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46F3139E">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4700A00B">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5A7D2B2F">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7D90C474">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val="0"/>
          <w:color w:val="000000"/>
          <w:kern w:val="2"/>
          <w:sz w:val="24"/>
          <w:szCs w:val="24"/>
          <w:highlight w:val="none"/>
          <w:shd w:val="clear" w:color="auto" w:fill="auto"/>
          <w:lang w:val="en-US" w:eastAsia="zh-CN" w:bidi="ar-SA"/>
        </w:rPr>
      </w:pPr>
    </w:p>
    <w:p w14:paraId="756BD135">
      <w:pPr>
        <w:keepNext w:val="0"/>
        <w:keepLines w:val="0"/>
        <w:pageBreakBefore w:val="0"/>
        <w:kinsoku/>
        <w:wordWrap/>
        <w:overflowPunct/>
        <w:topLinePunct w:val="0"/>
        <w:autoSpaceDE/>
        <w:autoSpaceDN/>
        <w:bidi w:val="0"/>
        <w:adjustRightInd/>
        <w:snapToGrid w:val="0"/>
        <w:spacing w:line="560" w:lineRule="exact"/>
        <w:textAlignment w:val="auto"/>
        <w:rPr>
          <w:rFonts w:hint="default" w:ascii="仿宋" w:hAnsi="仿宋" w:eastAsia="仿宋" w:cs="仿宋"/>
          <w:b/>
          <w:bCs w:val="0"/>
          <w:color w:val="000000"/>
          <w:kern w:val="2"/>
          <w:sz w:val="24"/>
          <w:szCs w:val="24"/>
          <w:highlight w:val="none"/>
          <w:shd w:val="clear" w:color="auto" w:fill="auto"/>
          <w:lang w:val="en-US" w:eastAsia="zh-CN" w:bidi="ar-SA"/>
        </w:rPr>
        <w:sectPr>
          <w:footerReference r:id="rId3" w:type="default"/>
          <w:pgSz w:w="11906" w:h="16838"/>
          <w:pgMar w:top="1418" w:right="1418" w:bottom="1276" w:left="1418" w:header="680" w:footer="680" w:gutter="0"/>
          <w:pgNumType w:fmt="decimal"/>
          <w:cols w:space="720" w:num="1"/>
          <w:docGrid w:type="lines" w:linePitch="312" w:charSpace="0"/>
        </w:sectPr>
      </w:pPr>
    </w:p>
    <w:p w14:paraId="7FBDAB1C">
      <w:pPr>
        <w:keepNext w:val="0"/>
        <w:keepLines w:val="0"/>
        <w:pageBreakBefore w:val="0"/>
        <w:numPr>
          <w:ilvl w:val="0"/>
          <w:numId w:val="0"/>
        </w:numPr>
        <w:kinsoku/>
        <w:wordWrap/>
        <w:overflowPunct/>
        <w:topLinePunct w:val="0"/>
        <w:autoSpaceDE/>
        <w:autoSpaceDN/>
        <w:bidi w:val="0"/>
        <w:adjustRightInd/>
        <w:snapToGrid w:val="0"/>
        <w:spacing w:line="360" w:lineRule="auto"/>
        <w:ind w:left="840" w:leftChars="0"/>
        <w:textAlignment w:val="auto"/>
        <w:rPr>
          <w:rFonts w:hint="eastAsia" w:ascii="仿宋" w:hAnsi="仿宋" w:eastAsia="仿宋" w:cs="仿宋"/>
          <w:b/>
          <w:bCs w:val="0"/>
          <w:color w:val="000000"/>
          <w:kern w:val="2"/>
          <w:sz w:val="24"/>
          <w:szCs w:val="24"/>
          <w:highlight w:val="none"/>
          <w:shd w:val="clear" w:color="auto" w:fill="auto"/>
          <w:lang w:val="en-US" w:eastAsia="zh-CN" w:bidi="ar-SA"/>
        </w:rPr>
      </w:pPr>
      <w:r>
        <w:rPr>
          <w:rFonts w:hint="eastAsia" w:ascii="仿宋" w:hAnsi="仿宋" w:eastAsia="仿宋" w:cs="仿宋"/>
          <w:b/>
          <w:bCs w:val="0"/>
          <w:color w:val="000000"/>
          <w:kern w:val="2"/>
          <w:sz w:val="24"/>
          <w:szCs w:val="24"/>
          <w:highlight w:val="none"/>
          <w:shd w:val="clear" w:color="auto" w:fill="auto"/>
          <w:lang w:val="en-US" w:eastAsia="zh-CN" w:bidi="ar-SA"/>
        </w:rPr>
        <w:t>附件：安庆职业技术学院2026年维修耗材采购清单</w:t>
      </w:r>
    </w:p>
    <w:tbl>
      <w:tblPr>
        <w:tblStyle w:val="6"/>
        <w:tblpPr w:leftFromText="180" w:rightFromText="180" w:vertAnchor="text" w:horzAnchor="page" w:tblpXSpec="center" w:tblpY="670"/>
        <w:tblOverlap w:val="never"/>
        <w:tblW w:w="9826" w:type="dxa"/>
        <w:jc w:val="center"/>
        <w:tblLayout w:type="fixed"/>
        <w:tblCellMar>
          <w:top w:w="0" w:type="dxa"/>
          <w:left w:w="108" w:type="dxa"/>
          <w:bottom w:w="0" w:type="dxa"/>
          <w:right w:w="108" w:type="dxa"/>
        </w:tblCellMar>
      </w:tblPr>
      <w:tblGrid>
        <w:gridCol w:w="996"/>
        <w:gridCol w:w="1618"/>
        <w:gridCol w:w="1378"/>
        <w:gridCol w:w="977"/>
        <w:gridCol w:w="977"/>
        <w:gridCol w:w="1567"/>
        <w:gridCol w:w="1222"/>
        <w:gridCol w:w="1091"/>
      </w:tblGrid>
      <w:tr w14:paraId="18F07FE0">
        <w:trPr>
          <w:trHeight w:val="245" w:hRule="atLeast"/>
          <w:jc w:val="center"/>
        </w:trPr>
        <w:tc>
          <w:tcPr>
            <w:tcW w:w="996" w:type="dxa"/>
            <w:vMerge w:val="restart"/>
            <w:tcBorders>
              <w:top w:val="single" w:color="000000" w:sz="4" w:space="0"/>
              <w:left w:val="single" w:color="000000" w:sz="4" w:space="0"/>
              <w:right w:val="single" w:color="000000" w:sz="4" w:space="0"/>
            </w:tcBorders>
            <w:noWrap w:val="0"/>
            <w:vAlign w:val="center"/>
          </w:tcPr>
          <w:p w14:paraId="35CE6F9C">
            <w:pPr>
              <w:widowControl/>
              <w:tabs>
                <w:tab w:val="left" w:pos="213"/>
                <w:tab w:val="center" w:pos="766"/>
              </w:tabs>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1618" w:type="dxa"/>
            <w:vMerge w:val="restart"/>
            <w:tcBorders>
              <w:top w:val="single" w:color="000000" w:sz="4" w:space="0"/>
              <w:left w:val="single" w:color="000000" w:sz="4" w:space="0"/>
              <w:right w:val="single" w:color="000000" w:sz="4" w:space="0"/>
            </w:tcBorders>
            <w:noWrap w:val="0"/>
            <w:vAlign w:val="center"/>
          </w:tcPr>
          <w:p w14:paraId="69BB7433">
            <w:pPr>
              <w:widowControl/>
              <w:tabs>
                <w:tab w:val="left" w:pos="213"/>
                <w:tab w:val="center" w:pos="766"/>
              </w:tabs>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rPr>
              <w:t>材料名称</w:t>
            </w:r>
          </w:p>
        </w:tc>
        <w:tc>
          <w:tcPr>
            <w:tcW w:w="1378" w:type="dxa"/>
            <w:vMerge w:val="restart"/>
            <w:tcBorders>
              <w:top w:val="single" w:color="000000" w:sz="4" w:space="0"/>
              <w:left w:val="single" w:color="000000" w:sz="4" w:space="0"/>
              <w:right w:val="single" w:color="000000" w:sz="4" w:space="0"/>
            </w:tcBorders>
            <w:noWrap w:val="0"/>
            <w:vAlign w:val="center"/>
          </w:tcPr>
          <w:p w14:paraId="0127EF42">
            <w:pPr>
              <w:widowControl/>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rPr>
              <w:t>型号</w:t>
            </w:r>
          </w:p>
        </w:tc>
        <w:tc>
          <w:tcPr>
            <w:tcW w:w="977" w:type="dxa"/>
            <w:vMerge w:val="restart"/>
            <w:tcBorders>
              <w:top w:val="single" w:color="000000" w:sz="4" w:space="0"/>
              <w:left w:val="single" w:color="000000" w:sz="4" w:space="0"/>
              <w:right w:val="single" w:color="000000" w:sz="4" w:space="0"/>
            </w:tcBorders>
            <w:noWrap w:val="0"/>
            <w:vAlign w:val="center"/>
          </w:tcPr>
          <w:p w14:paraId="0E861E60">
            <w:pPr>
              <w:widowControl/>
              <w:jc w:val="center"/>
              <w:textAlignment w:val="center"/>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数量</w:t>
            </w:r>
          </w:p>
        </w:tc>
        <w:tc>
          <w:tcPr>
            <w:tcW w:w="977" w:type="dxa"/>
            <w:vMerge w:val="restart"/>
            <w:tcBorders>
              <w:top w:val="single" w:color="000000" w:sz="4" w:space="0"/>
              <w:left w:val="single" w:color="000000" w:sz="4" w:space="0"/>
              <w:right w:val="single" w:color="000000" w:sz="4" w:space="0"/>
            </w:tcBorders>
            <w:noWrap w:val="0"/>
            <w:vAlign w:val="center"/>
          </w:tcPr>
          <w:p w14:paraId="35BC1A20">
            <w:pPr>
              <w:widowControl/>
              <w:jc w:val="center"/>
              <w:textAlignment w:val="center"/>
              <w:rPr>
                <w:rFonts w:hint="default"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单位</w:t>
            </w:r>
          </w:p>
        </w:tc>
        <w:tc>
          <w:tcPr>
            <w:tcW w:w="3880" w:type="dxa"/>
            <w:gridSpan w:val="3"/>
            <w:tcBorders>
              <w:top w:val="single" w:color="000000" w:sz="4" w:space="0"/>
              <w:left w:val="single" w:color="000000" w:sz="4" w:space="0"/>
              <w:bottom w:val="single" w:color="auto" w:sz="4" w:space="0"/>
              <w:right w:val="single" w:color="000000" w:sz="4" w:space="0"/>
            </w:tcBorders>
            <w:noWrap w:val="0"/>
            <w:vAlign w:val="center"/>
          </w:tcPr>
          <w:p w14:paraId="04D576C6">
            <w:pPr>
              <w:widowControl/>
              <w:jc w:val="center"/>
              <w:textAlignment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拟推荐品牌</w:t>
            </w:r>
          </w:p>
        </w:tc>
      </w:tr>
      <w:tr w14:paraId="1930EAA1">
        <w:tblPrEx>
          <w:tblCellMar>
            <w:top w:w="0" w:type="dxa"/>
            <w:left w:w="108" w:type="dxa"/>
            <w:bottom w:w="0" w:type="dxa"/>
            <w:right w:w="108" w:type="dxa"/>
          </w:tblCellMar>
        </w:tblPrEx>
        <w:trPr>
          <w:trHeight w:val="208" w:hRule="atLeast"/>
          <w:jc w:val="center"/>
        </w:trPr>
        <w:tc>
          <w:tcPr>
            <w:tcW w:w="996" w:type="dxa"/>
            <w:vMerge w:val="continue"/>
            <w:tcBorders>
              <w:left w:val="single" w:color="000000" w:sz="4" w:space="0"/>
              <w:bottom w:val="single" w:color="000000" w:sz="4" w:space="0"/>
              <w:right w:val="single" w:color="000000" w:sz="4" w:space="0"/>
            </w:tcBorders>
            <w:noWrap w:val="0"/>
            <w:vAlign w:val="center"/>
          </w:tcPr>
          <w:p w14:paraId="55E75295">
            <w:pPr>
              <w:widowControl/>
              <w:tabs>
                <w:tab w:val="left" w:pos="213"/>
                <w:tab w:val="center" w:pos="766"/>
              </w:tabs>
              <w:jc w:val="center"/>
              <w:textAlignment w:val="center"/>
              <w:rPr>
                <w:rFonts w:hint="eastAsia" w:ascii="仿宋" w:hAnsi="仿宋" w:eastAsia="仿宋" w:cs="仿宋"/>
                <w:b/>
                <w:bCs/>
                <w:color w:val="000000"/>
                <w:kern w:val="0"/>
                <w:sz w:val="21"/>
                <w:szCs w:val="21"/>
              </w:rPr>
            </w:pPr>
          </w:p>
        </w:tc>
        <w:tc>
          <w:tcPr>
            <w:tcW w:w="1618" w:type="dxa"/>
            <w:vMerge w:val="continue"/>
            <w:tcBorders>
              <w:left w:val="single" w:color="000000" w:sz="4" w:space="0"/>
              <w:bottom w:val="single" w:color="000000" w:sz="4" w:space="0"/>
              <w:right w:val="single" w:color="000000" w:sz="4" w:space="0"/>
            </w:tcBorders>
            <w:noWrap w:val="0"/>
            <w:vAlign w:val="center"/>
          </w:tcPr>
          <w:p w14:paraId="233C0515">
            <w:pPr>
              <w:widowControl/>
              <w:tabs>
                <w:tab w:val="left" w:pos="213"/>
                <w:tab w:val="center" w:pos="766"/>
              </w:tabs>
              <w:jc w:val="center"/>
              <w:textAlignment w:val="center"/>
              <w:rPr>
                <w:rFonts w:hint="eastAsia" w:ascii="仿宋" w:hAnsi="仿宋" w:eastAsia="仿宋" w:cs="仿宋"/>
                <w:b/>
                <w:bCs/>
                <w:color w:val="000000"/>
                <w:kern w:val="0"/>
                <w:sz w:val="21"/>
                <w:szCs w:val="21"/>
              </w:rPr>
            </w:pPr>
          </w:p>
        </w:tc>
        <w:tc>
          <w:tcPr>
            <w:tcW w:w="1378" w:type="dxa"/>
            <w:vMerge w:val="continue"/>
            <w:tcBorders>
              <w:left w:val="single" w:color="000000" w:sz="4" w:space="0"/>
              <w:bottom w:val="single" w:color="000000" w:sz="4" w:space="0"/>
              <w:right w:val="single" w:color="000000" w:sz="4" w:space="0"/>
            </w:tcBorders>
            <w:noWrap w:val="0"/>
            <w:vAlign w:val="center"/>
          </w:tcPr>
          <w:p w14:paraId="756F4C2C">
            <w:pPr>
              <w:widowControl/>
              <w:jc w:val="center"/>
              <w:textAlignment w:val="center"/>
              <w:rPr>
                <w:rFonts w:hint="eastAsia" w:ascii="仿宋" w:hAnsi="仿宋" w:eastAsia="仿宋" w:cs="仿宋"/>
                <w:b/>
                <w:bCs/>
                <w:color w:val="000000"/>
                <w:kern w:val="0"/>
                <w:sz w:val="21"/>
                <w:szCs w:val="21"/>
              </w:rPr>
            </w:pPr>
          </w:p>
        </w:tc>
        <w:tc>
          <w:tcPr>
            <w:tcW w:w="977" w:type="dxa"/>
            <w:vMerge w:val="continue"/>
            <w:tcBorders>
              <w:left w:val="single" w:color="000000" w:sz="4" w:space="0"/>
              <w:bottom w:val="single" w:color="000000" w:sz="4" w:space="0"/>
              <w:right w:val="single" w:color="000000" w:sz="4" w:space="0"/>
            </w:tcBorders>
            <w:noWrap w:val="0"/>
            <w:vAlign w:val="center"/>
          </w:tcPr>
          <w:p w14:paraId="1EC050B7">
            <w:pPr>
              <w:widowControl/>
              <w:jc w:val="center"/>
              <w:textAlignment w:val="center"/>
              <w:rPr>
                <w:rFonts w:hint="eastAsia" w:ascii="仿宋" w:hAnsi="仿宋" w:eastAsia="仿宋" w:cs="仿宋"/>
                <w:b/>
                <w:bCs/>
                <w:color w:val="000000"/>
                <w:kern w:val="0"/>
                <w:sz w:val="21"/>
                <w:szCs w:val="21"/>
              </w:rPr>
            </w:pPr>
          </w:p>
        </w:tc>
        <w:tc>
          <w:tcPr>
            <w:tcW w:w="977" w:type="dxa"/>
            <w:vMerge w:val="continue"/>
            <w:tcBorders>
              <w:left w:val="single" w:color="000000" w:sz="4" w:space="0"/>
              <w:bottom w:val="single" w:color="000000" w:sz="4" w:space="0"/>
              <w:right w:val="single" w:color="000000" w:sz="4" w:space="0"/>
            </w:tcBorders>
            <w:noWrap w:val="0"/>
            <w:vAlign w:val="center"/>
          </w:tcPr>
          <w:p w14:paraId="60AD06C8">
            <w:pPr>
              <w:widowControl/>
              <w:jc w:val="center"/>
              <w:textAlignment w:val="center"/>
              <w:rPr>
                <w:rFonts w:hint="eastAsia" w:ascii="仿宋" w:hAnsi="仿宋" w:eastAsia="仿宋" w:cs="仿宋"/>
                <w:b/>
                <w:bCs/>
                <w:color w:val="000000"/>
                <w:kern w:val="0"/>
                <w:sz w:val="21"/>
                <w:szCs w:val="21"/>
              </w:rPr>
            </w:pPr>
          </w:p>
        </w:tc>
        <w:tc>
          <w:tcPr>
            <w:tcW w:w="1567" w:type="dxa"/>
            <w:tcBorders>
              <w:top w:val="single" w:color="auto" w:sz="4" w:space="0"/>
              <w:left w:val="single" w:color="000000" w:sz="4" w:space="0"/>
              <w:bottom w:val="single" w:color="000000" w:sz="4" w:space="0"/>
              <w:right w:val="single" w:color="000000" w:sz="4" w:space="0"/>
            </w:tcBorders>
            <w:noWrap w:val="0"/>
            <w:vAlign w:val="center"/>
          </w:tcPr>
          <w:p w14:paraId="37DF2587">
            <w:pPr>
              <w:widowControl/>
              <w:spacing w:beforeLines="0" w:afterLines="0"/>
              <w:jc w:val="center"/>
              <w:textAlignment w:val="center"/>
              <w:rPr>
                <w:rFonts w:hint="eastAsia" w:ascii="仿宋" w:hAnsi="仿宋" w:eastAsia="仿宋" w:cs="仿宋"/>
                <w:b/>
                <w:bCs/>
                <w:color w:val="000000"/>
                <w:kern w:val="0"/>
                <w:sz w:val="21"/>
                <w:szCs w:val="21"/>
              </w:rPr>
            </w:pPr>
            <w:r>
              <w:rPr>
                <w:rFonts w:hint="eastAsia" w:ascii="仿宋" w:hAnsi="仿宋" w:eastAsia="仿宋" w:cs="仿宋"/>
                <w:b/>
                <w:color w:val="000000"/>
                <w:kern w:val="0"/>
                <w:sz w:val="21"/>
                <w:szCs w:val="21"/>
              </w:rPr>
              <w:t>品牌1</w:t>
            </w:r>
          </w:p>
        </w:tc>
        <w:tc>
          <w:tcPr>
            <w:tcW w:w="1222" w:type="dxa"/>
            <w:tcBorders>
              <w:top w:val="single" w:color="auto" w:sz="4" w:space="0"/>
              <w:left w:val="single" w:color="000000" w:sz="4" w:space="0"/>
              <w:bottom w:val="single" w:color="000000" w:sz="4" w:space="0"/>
              <w:right w:val="single" w:color="000000" w:sz="4" w:space="0"/>
            </w:tcBorders>
            <w:noWrap w:val="0"/>
            <w:vAlign w:val="center"/>
          </w:tcPr>
          <w:p w14:paraId="400ABC0B">
            <w:pPr>
              <w:widowControl/>
              <w:spacing w:beforeLines="0" w:afterLines="0"/>
              <w:jc w:val="center"/>
              <w:textAlignment w:val="center"/>
              <w:rPr>
                <w:rFonts w:hint="eastAsia" w:ascii="仿宋" w:hAnsi="仿宋" w:eastAsia="仿宋" w:cs="仿宋"/>
                <w:b/>
                <w:bCs/>
                <w:color w:val="000000"/>
                <w:kern w:val="0"/>
                <w:sz w:val="21"/>
                <w:szCs w:val="21"/>
              </w:rPr>
            </w:pPr>
            <w:r>
              <w:rPr>
                <w:rFonts w:hint="eastAsia" w:ascii="仿宋" w:hAnsi="仿宋" w:eastAsia="仿宋" w:cs="仿宋"/>
                <w:b/>
                <w:color w:val="000000"/>
                <w:kern w:val="0"/>
                <w:sz w:val="21"/>
                <w:szCs w:val="21"/>
              </w:rPr>
              <w:t>品牌2</w:t>
            </w:r>
          </w:p>
        </w:tc>
        <w:tc>
          <w:tcPr>
            <w:tcW w:w="1091" w:type="dxa"/>
            <w:tcBorders>
              <w:top w:val="single" w:color="auto" w:sz="4" w:space="0"/>
              <w:left w:val="single" w:color="000000" w:sz="4" w:space="0"/>
              <w:bottom w:val="single" w:color="000000" w:sz="4" w:space="0"/>
              <w:right w:val="single" w:color="000000" w:sz="4" w:space="0"/>
            </w:tcBorders>
            <w:noWrap w:val="0"/>
            <w:vAlign w:val="center"/>
          </w:tcPr>
          <w:p w14:paraId="7B2E4A57">
            <w:pPr>
              <w:widowControl/>
              <w:spacing w:beforeLines="0" w:afterLines="0"/>
              <w:jc w:val="center"/>
              <w:textAlignment w:val="center"/>
              <w:rPr>
                <w:rFonts w:hint="eastAsia" w:ascii="仿宋" w:hAnsi="仿宋" w:eastAsia="仿宋" w:cs="仿宋"/>
                <w:b/>
                <w:bCs/>
                <w:color w:val="000000"/>
                <w:kern w:val="0"/>
                <w:sz w:val="21"/>
                <w:szCs w:val="21"/>
              </w:rPr>
            </w:pPr>
            <w:r>
              <w:rPr>
                <w:rFonts w:hint="eastAsia" w:ascii="仿宋" w:hAnsi="仿宋" w:eastAsia="仿宋" w:cs="仿宋"/>
                <w:b/>
                <w:color w:val="000000"/>
                <w:kern w:val="0"/>
                <w:sz w:val="21"/>
                <w:szCs w:val="21"/>
              </w:rPr>
              <w:t>品牌3</w:t>
            </w:r>
          </w:p>
        </w:tc>
      </w:tr>
      <w:tr w14:paraId="6A6B1F22">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043B05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457FCAD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LED球泡</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0F4A54D">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100W</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24F21669">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0AF756A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8DBBEF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雷士照明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A69DCC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欧普照明</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91F582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佛山照明</w:t>
            </w:r>
          </w:p>
        </w:tc>
      </w:tr>
      <w:tr w14:paraId="1F88DE3E">
        <w:tblPrEx>
          <w:tblCellMar>
            <w:top w:w="0" w:type="dxa"/>
            <w:left w:w="108" w:type="dxa"/>
            <w:bottom w:w="0" w:type="dxa"/>
            <w:right w:w="108" w:type="dxa"/>
          </w:tblCellMar>
        </w:tblPrEx>
        <w:trPr>
          <w:trHeight w:val="542"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7051B85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4F0A6E02">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LED球泡</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FBC8B8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30W</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7175BF98">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4463A6E9">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202B632">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雷士照明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0C00185">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欧普照明</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009D999">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sz w:val="21"/>
                <w:szCs w:val="21"/>
                <w:lang w:val="en-US" w:eastAsia="zh-CN"/>
              </w:rPr>
              <w:t>佛山照明</w:t>
            </w:r>
          </w:p>
        </w:tc>
      </w:tr>
      <w:tr w14:paraId="40B999C8">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5CC5F84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7D53637">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LED球泡</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3E69019">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10W</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5D7EC232">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400</w:t>
            </w:r>
          </w:p>
        </w:tc>
        <w:tc>
          <w:tcPr>
            <w:tcW w:w="977" w:type="dxa"/>
            <w:tcBorders>
              <w:top w:val="single" w:color="000000" w:sz="4" w:space="0"/>
              <w:left w:val="single" w:color="000000" w:sz="4" w:space="0"/>
              <w:bottom w:val="single" w:color="000000" w:sz="4" w:space="0"/>
              <w:right w:val="single" w:color="000000" w:sz="4" w:space="0"/>
            </w:tcBorders>
            <w:noWrap/>
            <w:vAlign w:val="center"/>
          </w:tcPr>
          <w:p w14:paraId="04FDB6F0">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5233FED">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雷士照明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1335B57">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欧普照明</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33ED0E4">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sz w:val="21"/>
                <w:szCs w:val="21"/>
                <w:lang w:val="en-US" w:eastAsia="zh-CN"/>
              </w:rPr>
              <w:t>佛山照明</w:t>
            </w:r>
          </w:p>
        </w:tc>
      </w:tr>
      <w:tr w14:paraId="6B7ACB61">
        <w:tblPrEx>
          <w:tblCellMar>
            <w:top w:w="0" w:type="dxa"/>
            <w:left w:w="108" w:type="dxa"/>
            <w:bottom w:w="0" w:type="dxa"/>
            <w:right w:w="108" w:type="dxa"/>
          </w:tblCellMar>
        </w:tblPrEx>
        <w:trPr>
          <w:trHeight w:val="48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6BB9D26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39CF5AB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LEDT8灯管</w:t>
            </w:r>
          </w:p>
        </w:tc>
        <w:tc>
          <w:tcPr>
            <w:tcW w:w="1378" w:type="dxa"/>
            <w:tcBorders>
              <w:top w:val="single" w:color="000000" w:sz="4" w:space="0"/>
              <w:left w:val="single" w:color="000000" w:sz="4" w:space="0"/>
              <w:bottom w:val="nil"/>
              <w:right w:val="single" w:color="000000" w:sz="4" w:space="0"/>
            </w:tcBorders>
            <w:noWrap/>
            <w:vAlign w:val="center"/>
          </w:tcPr>
          <w:p w14:paraId="4A6FB7B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30W</w:t>
            </w:r>
          </w:p>
        </w:tc>
        <w:tc>
          <w:tcPr>
            <w:tcW w:w="977" w:type="dxa"/>
            <w:tcBorders>
              <w:top w:val="single" w:color="000000" w:sz="4" w:space="0"/>
              <w:left w:val="single" w:color="000000" w:sz="4" w:space="0"/>
              <w:bottom w:val="nil"/>
              <w:right w:val="single" w:color="000000" w:sz="4" w:space="0"/>
            </w:tcBorders>
            <w:noWrap w:val="0"/>
            <w:vAlign w:val="center"/>
          </w:tcPr>
          <w:p w14:paraId="6DE339E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1000</w:t>
            </w:r>
          </w:p>
        </w:tc>
        <w:tc>
          <w:tcPr>
            <w:tcW w:w="977" w:type="dxa"/>
            <w:tcBorders>
              <w:top w:val="single" w:color="000000" w:sz="4" w:space="0"/>
              <w:left w:val="single" w:color="000000" w:sz="4" w:space="0"/>
              <w:bottom w:val="nil"/>
              <w:right w:val="single" w:color="000000" w:sz="4" w:space="0"/>
            </w:tcBorders>
            <w:noWrap w:val="0"/>
            <w:vAlign w:val="center"/>
          </w:tcPr>
          <w:p w14:paraId="739A161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支</w:t>
            </w:r>
          </w:p>
        </w:tc>
        <w:tc>
          <w:tcPr>
            <w:tcW w:w="1567" w:type="dxa"/>
            <w:tcBorders>
              <w:top w:val="single" w:color="000000" w:sz="4" w:space="0"/>
              <w:left w:val="single" w:color="000000" w:sz="4" w:space="0"/>
              <w:bottom w:val="nil"/>
              <w:right w:val="single" w:color="000000" w:sz="4" w:space="0"/>
            </w:tcBorders>
            <w:noWrap w:val="0"/>
            <w:vAlign w:val="center"/>
          </w:tcPr>
          <w:p w14:paraId="56EEDF3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雷士照明</w:t>
            </w:r>
          </w:p>
        </w:tc>
        <w:tc>
          <w:tcPr>
            <w:tcW w:w="1222" w:type="dxa"/>
            <w:tcBorders>
              <w:top w:val="single" w:color="000000" w:sz="4" w:space="0"/>
              <w:left w:val="single" w:color="000000" w:sz="4" w:space="0"/>
              <w:bottom w:val="nil"/>
              <w:right w:val="single" w:color="000000" w:sz="4" w:space="0"/>
            </w:tcBorders>
            <w:noWrap w:val="0"/>
            <w:vAlign w:val="center"/>
          </w:tcPr>
          <w:p w14:paraId="6395588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欧普照明</w:t>
            </w:r>
          </w:p>
        </w:tc>
        <w:tc>
          <w:tcPr>
            <w:tcW w:w="1091" w:type="dxa"/>
            <w:tcBorders>
              <w:top w:val="single" w:color="000000" w:sz="4" w:space="0"/>
              <w:left w:val="single" w:color="000000" w:sz="4" w:space="0"/>
              <w:bottom w:val="nil"/>
              <w:right w:val="single" w:color="000000" w:sz="4" w:space="0"/>
            </w:tcBorders>
            <w:noWrap w:val="0"/>
            <w:vAlign w:val="center"/>
          </w:tcPr>
          <w:p w14:paraId="1333107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佛山照明</w:t>
            </w:r>
          </w:p>
        </w:tc>
      </w:tr>
      <w:tr w14:paraId="6EA64AD5">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28644D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3760A689">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LEDT5一体化灯具</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244382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329417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083181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支</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53CA7F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雷士照明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C524C1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欧普照明</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D04B14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佛山照明</w:t>
            </w:r>
          </w:p>
        </w:tc>
      </w:tr>
      <w:tr w14:paraId="2B12E569">
        <w:tblPrEx>
          <w:tblCellMar>
            <w:top w:w="0" w:type="dxa"/>
            <w:left w:w="108" w:type="dxa"/>
            <w:bottom w:w="0" w:type="dxa"/>
            <w:right w:w="108" w:type="dxa"/>
          </w:tblCellMar>
        </w:tblPrEx>
        <w:trPr>
          <w:trHeight w:val="39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411324C9">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4E99B3F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LED平板灯</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9AE3AC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(600*600)60W</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ED04AB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D1FC0E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盏</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19955E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雷士照明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1A14FF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欧普照明</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F6B944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佛山照明</w:t>
            </w:r>
          </w:p>
        </w:tc>
      </w:tr>
      <w:tr w14:paraId="3529B26D">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62D436D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2A30E4D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LED灯贴</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32B4E7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24W</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5A1428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EDF726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F9D498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雷士照明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580EA2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欧普照明</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70E618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佛山照明</w:t>
            </w:r>
          </w:p>
        </w:tc>
      </w:tr>
      <w:tr w14:paraId="186B8684">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7990D9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6349C72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LED声控吸顶灯</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AD1DDE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30W</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522895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250A449">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盏</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7CC3751">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雷士照明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401B4B6">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欧普照明</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CE8EA42">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sz w:val="21"/>
                <w:szCs w:val="21"/>
                <w:lang w:val="en-US" w:eastAsia="zh-CN"/>
              </w:rPr>
              <w:t>佛山照明</w:t>
            </w:r>
          </w:p>
        </w:tc>
      </w:tr>
      <w:tr w14:paraId="4856F135">
        <w:tblPrEx>
          <w:tblCellMar>
            <w:top w:w="0" w:type="dxa"/>
            <w:left w:w="108" w:type="dxa"/>
            <w:bottom w:w="0" w:type="dxa"/>
            <w:right w:w="108" w:type="dxa"/>
          </w:tblCellMar>
        </w:tblPrEx>
        <w:trPr>
          <w:trHeight w:val="412"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1A5AC1C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0E77FFBA">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LED路灯头</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03143B9">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80W</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150D33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85DCD2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C412D7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雷士照明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54EE78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欧普照明</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62E109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佛山照明</w:t>
            </w:r>
          </w:p>
        </w:tc>
      </w:tr>
      <w:tr w14:paraId="221C2B04">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6346A54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5DC5B90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3P断路器</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639FFE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63A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D2A7EA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9EBCEF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80F771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DC4522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880B54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正泰</w:t>
            </w:r>
          </w:p>
        </w:tc>
      </w:tr>
      <w:tr w14:paraId="2104158B">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05A60E4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2FBF1AF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3P断路器</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05BF52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40A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8B7937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F25C35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91DB32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6F7683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A87420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正泰</w:t>
            </w:r>
          </w:p>
        </w:tc>
      </w:tr>
      <w:tr w14:paraId="716CAB08">
        <w:tblPrEx>
          <w:tblCellMar>
            <w:top w:w="0" w:type="dxa"/>
            <w:left w:w="108" w:type="dxa"/>
            <w:bottom w:w="0" w:type="dxa"/>
            <w:right w:w="108" w:type="dxa"/>
          </w:tblCellMar>
        </w:tblPrEx>
        <w:trPr>
          <w:trHeight w:val="475"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68109E85">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30110E3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2P断路器</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48FD7F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25A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D82278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151674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C2CAF5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ECF741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DC88AE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正泰</w:t>
            </w:r>
          </w:p>
        </w:tc>
      </w:tr>
      <w:tr w14:paraId="295E1CED">
        <w:tblPrEx>
          <w:tblCellMar>
            <w:top w:w="0" w:type="dxa"/>
            <w:left w:w="108" w:type="dxa"/>
            <w:bottom w:w="0" w:type="dxa"/>
            <w:right w:w="108" w:type="dxa"/>
          </w:tblCellMar>
        </w:tblPrEx>
        <w:trPr>
          <w:trHeight w:val="475"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57F3819E">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625FEC1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2P断路器</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F404EA9">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40A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236A16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194AE0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C047C0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356CBF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E73616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正泰</w:t>
            </w:r>
          </w:p>
        </w:tc>
      </w:tr>
      <w:tr w14:paraId="1199FB08">
        <w:tblPrEx>
          <w:tblCellMar>
            <w:top w:w="0" w:type="dxa"/>
            <w:left w:w="108" w:type="dxa"/>
            <w:bottom w:w="0" w:type="dxa"/>
            <w:right w:w="108" w:type="dxa"/>
          </w:tblCellMar>
        </w:tblPrEx>
        <w:trPr>
          <w:trHeight w:val="385"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26A329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14</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16E54AC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三相四线漏电保护器</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6CE453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40A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BFCBB59">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E1FD52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09A8D8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445E9A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12BD90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正泰</w:t>
            </w:r>
          </w:p>
        </w:tc>
      </w:tr>
      <w:tr w14:paraId="7DE80C0E">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7077407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15</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7547B1B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时控开关</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66CB78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220V30A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69EE40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9BDCD0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B11346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51838A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6C09B0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国际电工</w:t>
            </w:r>
          </w:p>
        </w:tc>
      </w:tr>
      <w:tr w14:paraId="2A3A9D6F">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1B706A4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16</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60CA4A1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单开开关</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5FD4DE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3337D39">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2F8764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ECC6A1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ECED44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EF91D9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国际电工</w:t>
            </w:r>
          </w:p>
        </w:tc>
      </w:tr>
      <w:tr w14:paraId="7A1342DF">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1B23793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17</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2DA00BC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三孔面板</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484A891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16A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365DE8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D44DC1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E9AF43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8789B8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雷士</w:t>
            </w:r>
            <w:r>
              <w:rPr>
                <w:rFonts w:hint="eastAsia" w:ascii="仿宋" w:hAnsi="仿宋" w:eastAsia="仿宋" w:cs="仿宋"/>
                <w:color w:val="000000"/>
                <w:sz w:val="21"/>
                <w:szCs w:val="21"/>
              </w:rPr>
              <w:t>电工</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CA4196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正泰</w:t>
            </w:r>
          </w:p>
        </w:tc>
      </w:tr>
      <w:tr w14:paraId="31C9282A">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039BD59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18</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4D75429">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三相插头、面板</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A96049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32A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4F6701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483E77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73046A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0AF0EB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国际电工</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6FA84D6">
            <w:pPr>
              <w:widowControl/>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德力西</w:t>
            </w:r>
          </w:p>
        </w:tc>
      </w:tr>
      <w:tr w14:paraId="38AED617">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52DFC7F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19</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1C6B6FE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楼顶扇电机</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03293F9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FD40-G1/FD40-11A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A7D382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82D23A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E06365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‌金羚</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06ACF6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美的</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D3C77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奥克斯</w:t>
            </w:r>
          </w:p>
        </w:tc>
      </w:tr>
      <w:tr w14:paraId="25CF84AA">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4A2869A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20</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67DAB9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绝缘防水胶布</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5C4A935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10米/卷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270A2F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4586C9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卷</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8B0EBD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06742F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66ECB34">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九头鸟</w:t>
            </w:r>
          </w:p>
        </w:tc>
      </w:tr>
      <w:tr w14:paraId="2A52A404">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23A5F36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21</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1BABEAA">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国标铜芯BV单芯线</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AB9B1FA">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1.5平方</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6630DC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E19E99A">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卷</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10191C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正泰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2EDD63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2D0F721">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远东</w:t>
            </w:r>
          </w:p>
        </w:tc>
      </w:tr>
      <w:tr w14:paraId="42663BA2">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E291C2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7D5EE5E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国标铜芯BV单芯线</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441120B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2.5平方</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3E38E7A">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E5C059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卷</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7EB27B8">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正泰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D84EBE4">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德力西</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E47BC97">
            <w:pPr>
              <w:spacing w:beforeLines="0" w:afterLine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远</w:t>
            </w:r>
            <w:r>
              <w:rPr>
                <w:rFonts w:hint="eastAsia" w:ascii="仿宋" w:hAnsi="仿宋" w:eastAsia="仿宋" w:cs="仿宋"/>
                <w:color w:val="000000"/>
                <w:sz w:val="21"/>
                <w:szCs w:val="21"/>
                <w:lang w:val="en-US" w:eastAsia="zh-CN"/>
              </w:rPr>
              <w:t>东</w:t>
            </w:r>
          </w:p>
        </w:tc>
      </w:tr>
      <w:tr w14:paraId="71A5F611">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6EFCE2E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23</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37501A7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国标铜芯BV单芯线</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C7B4EC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4平方</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3C1D5F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D712DBA">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卷</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6756F9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正泰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B96E9F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823146B">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远东</w:t>
            </w:r>
          </w:p>
        </w:tc>
      </w:tr>
      <w:tr w14:paraId="6FFD081D">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6066880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24</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1FF083A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明盒</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A230C6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通用</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2B0897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399F1C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122D907">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公牛</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69E13E0">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鸿雁</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DE81E2F">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国际电工</w:t>
            </w:r>
          </w:p>
        </w:tc>
      </w:tr>
      <w:tr w14:paraId="766655FD">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64674AB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25</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14079D6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PVC线槽</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9D1E03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30mm*15mm</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2AA1C8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2169B2A">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米</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2B218B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FE1E88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C5D133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正泰</w:t>
            </w:r>
          </w:p>
        </w:tc>
      </w:tr>
      <w:tr w14:paraId="7A1E0EA4">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4B4DEA5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26</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5B3C198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线卡</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111E5D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8mm</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EEE005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8207A5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盒</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4DFD00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3E1C3B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2BF9AF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正泰</w:t>
            </w:r>
          </w:p>
        </w:tc>
      </w:tr>
      <w:tr w14:paraId="574855AD">
        <w:tblPrEx>
          <w:tblCellMar>
            <w:top w:w="0" w:type="dxa"/>
            <w:left w:w="108" w:type="dxa"/>
            <w:bottom w:w="0" w:type="dxa"/>
            <w:right w:w="108" w:type="dxa"/>
          </w:tblCellMar>
        </w:tblPrEx>
        <w:trPr>
          <w:trHeight w:val="557"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73C94F5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27</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45B0FC4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暗盒修复器</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B771C6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通用</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498D1D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32305A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D352D4E">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CC056DE">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BB32DD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希崖</w:t>
            </w:r>
          </w:p>
        </w:tc>
      </w:tr>
      <w:tr w14:paraId="350C8352">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1E98FFD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28</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625C0B6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PPR内牙直接</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460FDB9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φ20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91FB88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50CE61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0DED94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488470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7CAE59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549DDEAA">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46A8BE0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29</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1C6A9CA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PPR弯头</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4A0465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φ20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3E97BC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EAD99F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D156D3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70B1E6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E42C79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60DFE40A">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3D2372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30</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25F858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台盆落水管</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71C02A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通用</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92C493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F025AB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D7A9A0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29FB3F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57474A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66DBF6EE">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5F9D96C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31</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27AC915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拖把池落水管</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3B30A2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φ50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3D126C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576EE1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9F4D37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5BC8C5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EFC613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410F4DD7">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52A6491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2BC8B8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小便感应器</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234E4A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左进水交直流</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A3904E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BD655C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CC9FA48">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九牧</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9D9ABDD">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唐陶</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70FE3C3">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箭牌</w:t>
            </w:r>
          </w:p>
        </w:tc>
      </w:tr>
      <w:tr w14:paraId="6D809269">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7D07B67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33</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6E5B0E6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卫生间隔断站脚</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E8B12B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不锈钢</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E98FDE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D2189B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2C40B4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威震五金</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20C52C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华仕达五金</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0A2276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索威固五金</w:t>
            </w:r>
          </w:p>
        </w:tc>
      </w:tr>
      <w:tr w14:paraId="499739E0">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22B5CAC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34</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1DB80609">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全铜旋转台盆龙头</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5A01A85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单冷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23AF6F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323911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A61C45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‌九牧</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41CB8C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友莱卫浴</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9934A1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巴诺森雅</w:t>
            </w:r>
          </w:p>
        </w:tc>
      </w:tr>
      <w:tr w14:paraId="7504AA80">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22C2AB5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35</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54674CA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小便手推阀</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4DD4A67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全铜体</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58B934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A4BAEF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8EE6AFB">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正泰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D61B86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九牧</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0C01DA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埃美柯</w:t>
            </w:r>
          </w:p>
        </w:tc>
      </w:tr>
      <w:tr w14:paraId="538859E2">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331F5F1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36</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71DC8E5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堵漏王</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54EEFF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1kg/袋</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CD8FF0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B21640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袋</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924980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立邦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6F6372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东方雨虹</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472ECE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德高</w:t>
            </w:r>
          </w:p>
        </w:tc>
      </w:tr>
      <w:tr w14:paraId="40FAEAD5">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18CA2FD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37</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0830C90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镀锌方垫片</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4724EF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M10*65*65*3</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A6C42B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D5570D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kg</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15F1E95">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天宝</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76F4D15">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奥展</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368B6A9">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东明</w:t>
            </w:r>
          </w:p>
        </w:tc>
      </w:tr>
      <w:tr w14:paraId="02D4556D">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4D5A41B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38</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309B0789">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木门锁芯</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0D81D1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通用</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6F67B9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AF4B489">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支</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4E30B7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宝迪安</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35614D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美利保</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1E6AFA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万嘉</w:t>
            </w:r>
          </w:p>
        </w:tc>
      </w:tr>
      <w:tr w14:paraId="27D74DA8">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2D6C82D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39</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533DCCE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结构胶</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09B3FD58">
            <w:pPr>
              <w:jc w:val="center"/>
              <w:rPr>
                <w:rFonts w:hint="eastAsia" w:ascii="仿宋" w:hAnsi="仿宋" w:eastAsia="仿宋" w:cs="仿宋"/>
                <w:color w:val="000000"/>
                <w:sz w:val="21"/>
                <w:szCs w:val="21"/>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ADA2B0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E2521D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支</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D1FC32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东方雨虹</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C8CF112">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5018191">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潜水艇</w:t>
            </w:r>
          </w:p>
        </w:tc>
      </w:tr>
      <w:tr w14:paraId="786553C9">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16F81E0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40</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3D638E9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铁  丝</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48AC224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12号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BE64A8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1F206E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kg</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2059DE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炬材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791CC308">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宝钢</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6739A7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联拓</w:t>
            </w:r>
          </w:p>
        </w:tc>
      </w:tr>
      <w:tr w14:paraId="386F7674">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1546A3A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41</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2172055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铁  丝</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1F84C1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14号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7D87C4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4AC52D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kg</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1A65D1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炬材</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814A91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宝钢</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52D696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联拓</w:t>
            </w:r>
          </w:p>
        </w:tc>
      </w:tr>
      <w:tr w14:paraId="32C76BBD">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2E6CDAC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42</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5731A34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PPR闸阀</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3A8664C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φ63</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BD5B77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DEF559A">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D07070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81B17F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6918D4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13B461AC">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24AE491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43</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56FC234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PPR闸阀</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985488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φ50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62D98B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C4ADB4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52CF0C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1154BD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DA4227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403EE97F">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01A078F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44</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59B447B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PPR闸阀</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BFF033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φ40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A5427D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1880C02">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949B37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1EC67B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EDC873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587012F7">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089FD94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45</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1598E75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PPR闸阀</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FC701D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φ25</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1329227">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586E033">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9649DC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4A0A68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8CC1FE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79D54C81">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400D2FD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46</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2EF29F7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PPR闸阀</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216C582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φ32</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04E7CD8">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C360A0C">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7A45E1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67D398C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CDC0B7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19184334">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12C54DC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47</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43360800">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PPR闸阀</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1B9E048A">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φ90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8BDDCBB">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3536526">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4DCF29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C521C5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FB3887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73834948">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674163B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48</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787999C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生料带</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D69AC1E">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17g/卷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FE5A28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BC8FF9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卷</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4C289B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日丰</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A3A7A0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金牛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9FB510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联塑</w:t>
            </w:r>
          </w:p>
        </w:tc>
      </w:tr>
      <w:tr w14:paraId="435CF26B">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48F47953">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49</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4C7D7A0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吊扇(三页、铜芯）</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7E614B2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1400mm</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AFA03C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C3AEFE1">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台</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5F8F037">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长城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D7A2422">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美的</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AFEF7CB">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钻石</w:t>
            </w:r>
          </w:p>
        </w:tc>
      </w:tr>
      <w:tr w14:paraId="6C0577F4">
        <w:tblPrEx>
          <w:tblCellMar>
            <w:top w:w="0" w:type="dxa"/>
            <w:left w:w="108" w:type="dxa"/>
            <w:bottom w:w="0" w:type="dxa"/>
            <w:right w:w="108" w:type="dxa"/>
          </w:tblCellMar>
        </w:tblPrEx>
        <w:trPr>
          <w:trHeight w:val="500" w:hRule="atLeast"/>
          <w:jc w:val="center"/>
        </w:trPr>
        <w:tc>
          <w:tcPr>
            <w:tcW w:w="996" w:type="dxa"/>
            <w:tcBorders>
              <w:top w:val="single" w:color="000000" w:sz="4" w:space="0"/>
              <w:left w:val="single" w:color="000000" w:sz="4" w:space="0"/>
              <w:bottom w:val="single" w:color="000000" w:sz="4" w:space="0"/>
              <w:right w:val="single" w:color="000000" w:sz="4" w:space="0"/>
            </w:tcBorders>
            <w:noWrap w:val="0"/>
            <w:vAlign w:val="center"/>
          </w:tcPr>
          <w:p w14:paraId="0375DA88">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w:t>
            </w:r>
          </w:p>
        </w:tc>
        <w:tc>
          <w:tcPr>
            <w:tcW w:w="1618" w:type="dxa"/>
            <w:tcBorders>
              <w:top w:val="single" w:color="000000" w:sz="4" w:space="0"/>
              <w:left w:val="single" w:color="000000" w:sz="4" w:space="0"/>
              <w:bottom w:val="single" w:color="000000" w:sz="4" w:space="0"/>
              <w:right w:val="single" w:color="000000" w:sz="4" w:space="0"/>
            </w:tcBorders>
            <w:noWrap/>
            <w:vAlign w:val="center"/>
          </w:tcPr>
          <w:p w14:paraId="67AA3D5F">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2P断路器</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612269A4">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63A</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3D3AD65">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73FC18D">
            <w:pPr>
              <w:keepNext w:val="0"/>
              <w:keepLines w:val="0"/>
              <w:widowControl/>
              <w:suppressLineNumbers w:val="0"/>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只</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EA49621">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德力西</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0C2535B4">
            <w:pPr>
              <w:keepNext w:val="0"/>
              <w:keepLines w:val="0"/>
              <w:widowControl/>
              <w:suppressLineNumbers w:val="0"/>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公牛</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CD38240">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i w:val="0"/>
                <w:iCs w:val="0"/>
                <w:color w:val="000000"/>
                <w:kern w:val="0"/>
                <w:sz w:val="21"/>
                <w:szCs w:val="21"/>
                <w:u w:val="none"/>
                <w:lang w:val="en-US" w:eastAsia="zh-CN" w:bidi="ar"/>
              </w:rPr>
              <w:t>正泰</w:t>
            </w:r>
          </w:p>
        </w:tc>
      </w:tr>
      <w:tr w14:paraId="2B6950B9">
        <w:tblPrEx>
          <w:tblCellMar>
            <w:top w:w="0" w:type="dxa"/>
            <w:left w:w="108" w:type="dxa"/>
            <w:bottom w:w="0" w:type="dxa"/>
            <w:right w:w="108" w:type="dxa"/>
          </w:tblCellMar>
        </w:tblPrEx>
        <w:trPr>
          <w:trHeight w:val="2460" w:hRule="atLeast"/>
          <w:jc w:val="center"/>
        </w:trPr>
        <w:tc>
          <w:tcPr>
            <w:tcW w:w="9826" w:type="dxa"/>
            <w:gridSpan w:val="8"/>
            <w:tcBorders>
              <w:top w:val="single" w:color="000000" w:sz="4" w:space="0"/>
              <w:left w:val="single" w:color="000000" w:sz="4" w:space="0"/>
              <w:bottom w:val="single" w:color="000000" w:sz="4" w:space="0"/>
              <w:right w:val="single" w:color="000000" w:sz="4" w:space="0"/>
            </w:tcBorders>
            <w:noWrap w:val="0"/>
            <w:vAlign w:val="center"/>
          </w:tcPr>
          <w:p w14:paraId="5695BD3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注：（1）本供货要求提出的技术参数及要求为最低限度的技术要求，并未对一切技术细节做出规定，也未充分引述有关标准和规范的条文，响应人应保证提供符合或优于本技术参数及要求和有关标准、规范的优质产品； </w:t>
            </w:r>
          </w:p>
          <w:p w14:paraId="3BA4F0D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（2）为鼓励不同品牌的充分竞争，如某货物的某技术参数或要求属于个别品牌专有，则该技术参数及要求不具有限制性，响应人可对该参数或要求的响应情况进行说明，且该说明须经谈判小组审核认可； </w:t>
            </w:r>
          </w:p>
          <w:p w14:paraId="111523A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如供货要求中提供了推荐品牌（或型号）、参考品牌（或型号）等，为有助于响应人选择响应产品，上述品牌（或型号）仅供参考，并无限制性。响应人可以选择性能不低于推荐（或参考）的品牌（或型号）的其他品牌产品，但响应时应当提供有关技术证明资料，未提供的可能导致响应无效；</w:t>
            </w:r>
          </w:p>
          <w:p w14:paraId="3F92FC3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（4）采购人保留在签订合同之前对本技术规格及要求进行补充和修改的权利，成交人应予以配合；</w:t>
            </w:r>
          </w:p>
          <w:p w14:paraId="7D59E47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成交人提供的货物必须是全新未启用的符合国家、行业最新标准的合格产品，成交人如果提供劣质产品，采购人有权取消成交资格；如在质保过程中一经发现提供劣质产品，采购人有权要求成交人整改，并将其行为将纳入不良行为记录。</w:t>
            </w:r>
          </w:p>
        </w:tc>
      </w:tr>
    </w:tbl>
    <w:p w14:paraId="4DEBC1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2E95">
    <w:pPr>
      <w:pStyle w:val="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1740AB">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14</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path/>
              <v:fill on="f" focussize="0,0"/>
              <v:stroke on="f"/>
              <v:imagedata o:title=""/>
              <o:lock v:ext="edit" aspectratio="f"/>
              <v:textbox inset="0mm,0mm,0mm,0mm" style="mso-fit-shape-to-text:t;">
                <w:txbxContent>
                  <w:p w14:paraId="511740AB">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14</w:t>
                    </w:r>
                    <w:r>
                      <w:rPr>
                        <w:sz w:val="18"/>
                      </w:rPr>
                      <w:fldChar w:fldCharType="end"/>
                    </w:r>
                    <w:r>
                      <w:rPr>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10BF6"/>
    <w:rsid w:val="70D1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widowControl w:val="0"/>
      <w:tabs>
        <w:tab w:val="left" w:pos="1440"/>
        <w:tab w:val="left" w:pos="5670"/>
      </w:tabs>
      <w:spacing w:beforeLines="100" w:afterLines="100"/>
      <w:ind w:firstLine="2890" w:firstLineChars="1203"/>
      <w:jc w:val="both"/>
      <w:outlineLvl w:val="0"/>
    </w:pPr>
    <w:rPr>
      <w:rFonts w:ascii="黑体" w:hAnsi="Times New Roman" w:eastAsia="黑体" w:cs="Times New Roman"/>
      <w:b/>
      <w:kern w:val="44"/>
      <w:sz w:val="28"/>
      <w:szCs w:val="28"/>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qFormat/>
    <w:uiPriority w:val="0"/>
    <w:pPr>
      <w:widowControl w:val="0"/>
      <w:ind w:firstLine="420" w:firstLineChars="200"/>
      <w:jc w:val="both"/>
    </w:pPr>
    <w:rPr>
      <w:rFonts w:ascii="Times New Roman" w:hAnsi="Times New Roman" w:eastAsia="宋体" w:cs="Times New Roman"/>
      <w:kern w:val="2"/>
      <w:sz w:val="20"/>
      <w:lang w:val="en-US" w:eastAsia="zh-CN" w:bidi="ar-SA"/>
    </w:rPr>
  </w:style>
  <w:style w:type="paragraph" w:styleId="4">
    <w:name w:val="Body Text Indent"/>
    <w:qFormat/>
    <w:uiPriority w:val="0"/>
    <w:pPr>
      <w:widowControl w:val="0"/>
      <w:ind w:firstLine="645"/>
      <w:jc w:val="both"/>
    </w:pPr>
    <w:rPr>
      <w:rFonts w:ascii="Times New Roman" w:hAnsi="Times New Roman" w:eastAsia="宋体" w:cs="Times New Roman"/>
      <w:kern w:val="2"/>
      <w:sz w:val="20"/>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2026-06-25T07:09:00Z</dcterms:created>
  <dc:creator>半支烟</dc:creator>
  <cp:lastModifiedBy>半支烟</cp:lastModifiedBy>
  <dcterms:modified xsi:type="dcterms:W3CDTF">2026-06-25T07:10:47Z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7E6560C6630048A5BEC5DFEBCAF11298_11</vt:lpwstr>
  </property>
  <property fmtid="{D5CDD505-2E9C-101B-9397-08002B2CF9AE}" pid="4" name="KSOTemplateDocerSaveRecord">
    <vt:lpwstr>eyJoZGlkIjoiODcwZDgxYmNjODY1NWU5NDg4ZDFmZjJhNjY1ODc0NTkiLCJ1c2VySWQiOiI0NTYyMzQ4NDkifQ==</vt:lpwstr>
  </property>
</Properties>
</file>