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before="62" w:beforeLines="20" w:after="62" w:afterLines="20" w:line="480" w:lineRule="exact"/>
        <w:ind w:firstLine="0" w:firstLineChars="0"/>
        <w:jc w:val="center"/>
        <w:rPr>
          <w:rFonts w:hint="default" w:ascii="Arial" w:hAnsi="Arial" w:eastAsia="黑体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Arial" w:hAnsi="Arial"/>
          <w:kern w:val="2"/>
          <w:sz w:val="32"/>
          <w:szCs w:val="32"/>
          <w:highlight w:val="none"/>
          <w:lang w:val="en-US" w:eastAsia="zh-CN"/>
        </w:rPr>
        <w:t>服务需求及技术要求</w:t>
      </w:r>
    </w:p>
    <w:p>
      <w:pPr>
        <w:pStyle w:val="4"/>
        <w:widowControl w:val="0"/>
        <w:spacing w:before="0" w:beforeAutospacing="0" w:after="0" w:afterAutospacing="0" w:line="360" w:lineRule="auto"/>
        <w:ind w:left="420" w:leftChars="200" w:firstLine="0" w:firstLineChars="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一、供应商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应具备的条件</w:t>
      </w: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1、拟购买校方责任保险(含附加险种)，人数为全校2021、2022在籍在校生人数(不含扩招生)，大约为9500余人。拟购买学生实习责任保险为全校2020在籍在校生人数(不含扩招生)，大约2800人。</w:t>
      </w:r>
    </w:p>
    <w:p>
      <w:pPr>
        <w:pStyle w:val="4"/>
        <w:widowControl w:val="0"/>
        <w:spacing w:before="0" w:beforeAutospacing="0" w:after="0" w:afterAutospacing="0" w:line="360" w:lineRule="auto"/>
        <w:ind w:left="420" w:leftChars="200" w:firstLine="0" w:firstLineChars="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具备完善的服务水平、雄厚的技术实力、良好的风险管理能力和充足的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偿付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能力。</w:t>
      </w: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在采购人提出的保费基础上提供投标方案和保险条款，包括保险责任、赔偿范围、赔偿限额、理赔时效、法律服务等。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 xml:space="preserve">    4、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赔偿范围:医疗费、住院伙食补助费、营养费、监护人误工费、护理费、交通费、伤残赔偿金、丧葬费、死亡赔偿金、精神损害赔偿金等: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最高赔偿限额: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校方责任保险方案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见下表:(详见附件)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 xml:space="preserve">    5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、分支机构参与投标须取得总公司的相关授权(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文件中提供总公司授权资料，授权资料格式自拟，但须加盖总公司公章)，取得总公司相关授权后，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文件中关于法定代表人的要求事项可由分支机构《营业执照》上载明的负责人代理。</w:t>
      </w: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4"/>
        <w:widowControl w:val="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/>
        </w:rPr>
        <w:t>附件</w:t>
      </w:r>
    </w:p>
    <w:p>
      <w:pPr>
        <w:spacing w:before="291" w:line="220" w:lineRule="auto"/>
        <w:ind w:left="342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校方责任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保险方案</w:t>
      </w:r>
    </w:p>
    <w:p>
      <w:pPr>
        <w:spacing w:before="101" w:line="577" w:lineRule="exact"/>
        <w:ind w:firstLine="208" w:firstLineChars="1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1"/>
          <w:position w:val="19"/>
          <w:sz w:val="21"/>
          <w:szCs w:val="21"/>
          <w:highlight w:val="none"/>
        </w:rPr>
        <w:t>保费：每人每年16元</w:t>
      </w:r>
      <w:r>
        <w:rPr>
          <w:rFonts w:hint="eastAsia" w:ascii="宋体" w:hAnsi="宋体" w:eastAsia="宋体" w:cs="宋体"/>
          <w:position w:val="19"/>
          <w:sz w:val="21"/>
          <w:szCs w:val="21"/>
          <w:highlight w:val="none"/>
        </w:rPr>
        <w:t>RMB</w:t>
      </w:r>
      <w:r>
        <w:rPr>
          <w:rFonts w:hint="eastAsia" w:ascii="宋体" w:hAnsi="宋体" w:eastAsia="宋体" w:cs="宋体"/>
          <w:spacing w:val="-1"/>
          <w:position w:val="19"/>
          <w:sz w:val="21"/>
          <w:szCs w:val="21"/>
          <w:highlight w:val="none"/>
        </w:rPr>
        <w:t>+附加险种(</w:t>
      </w:r>
      <w:r>
        <w:rPr>
          <w:rFonts w:hint="eastAsia" w:ascii="宋体" w:hAnsi="宋体" w:eastAsia="宋体" w:cs="宋体"/>
          <w:position w:val="19"/>
          <w:sz w:val="21"/>
          <w:szCs w:val="21"/>
          <w:highlight w:val="none"/>
        </w:rPr>
        <w:t>优化方案)</w:t>
      </w:r>
    </w:p>
    <w:p>
      <w:pPr>
        <w:spacing w:line="227" w:lineRule="auto"/>
        <w:ind w:firstLine="186" w:firstLineChars="100"/>
        <w:rPr>
          <w:rFonts w:hint="eastAsia" w:ascii="宋体" w:hAnsi="宋体" w:eastAsia="宋体" w:cs="宋体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每</w:t>
      </w:r>
      <w:r>
        <w:rPr>
          <w:rFonts w:hint="eastAsia" w:ascii="宋体" w:hAnsi="宋体" w:eastAsia="宋体" w:cs="宋体"/>
          <w:spacing w:val="-6"/>
          <w:sz w:val="21"/>
          <w:szCs w:val="21"/>
          <w:highlight w:val="none"/>
        </w:rPr>
        <w:t>人每年14元+附加无过失责任险2元+附加险种</w:t>
      </w:r>
    </w:p>
    <w:p>
      <w:pPr>
        <w:spacing w:line="115" w:lineRule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538" w:type="dxa"/>
        <w:tblInd w:w="2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063"/>
        <w:gridCol w:w="4297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3" w:line="228" w:lineRule="auto"/>
              <w:ind w:left="44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28" w:lineRule="auto"/>
              <w:ind w:left="31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额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28" w:lineRule="auto"/>
              <w:ind w:left="183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1"/>
                <w:szCs w:val="21"/>
              </w:rPr>
              <w:t>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8" w:line="228" w:lineRule="auto"/>
              <w:ind w:left="33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额(万元)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0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99" w:lineRule="exact"/>
              <w:ind w:left="31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  <w:t>校方责任</w:t>
            </w:r>
          </w:p>
          <w:p>
            <w:pPr>
              <w:spacing w:line="228" w:lineRule="auto"/>
              <w:ind w:left="52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保险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4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30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1F497D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1F497D"/>
                <w:spacing w:val="-13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sz w:val="21"/>
                <w:szCs w:val="21"/>
              </w:rPr>
              <w:t>元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8" w:lineRule="auto"/>
              <w:ind w:left="47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sz w:val="21"/>
                <w:szCs w:val="21"/>
                <w:highlight w:val="none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  <w:highlight w:val="none"/>
              </w:rPr>
              <w:t>每年校方责任累计赔偿责任限额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191" w:lineRule="auto"/>
              <w:ind w:left="66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8" w:lineRule="auto"/>
              <w:ind w:left="131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人每年责任限额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191" w:lineRule="auto"/>
              <w:ind w:left="71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8" w:lineRule="auto"/>
              <w:ind w:left="109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每校每次事故赔偿限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191" w:lineRule="auto"/>
              <w:ind w:left="66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65" w:line="399" w:lineRule="exact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</w:pPr>
          </w:p>
          <w:p>
            <w:pPr>
              <w:spacing w:before="65" w:line="399" w:lineRule="exact"/>
              <w:ind w:left="761" w:leftChars="149" w:hanging="448" w:hangingChars="20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  <w:t>校方无过失责任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34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sz w:val="21"/>
                <w:szCs w:val="21"/>
              </w:rPr>
              <w:t>2元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8" w:lineRule="auto"/>
              <w:ind w:left="36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校每年无过失责任累计赔偿责任限额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6" w:line="190" w:lineRule="auto"/>
              <w:ind w:left="70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8" w:lineRule="auto"/>
              <w:ind w:left="99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人每年无过失责任限额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8" w:line="191" w:lineRule="auto"/>
              <w:ind w:left="76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8" w:lineRule="auto"/>
              <w:ind w:left="78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校每次事故无过失责任限额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9" w:line="191" w:lineRule="auto"/>
              <w:ind w:left="71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7" w:lineRule="auto"/>
              <w:ind w:left="78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人无过失精神损害赔偿限额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0" w:line="189" w:lineRule="auto"/>
              <w:ind w:left="80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53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7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77" w:lineRule="auto"/>
              <w:ind w:left="110" w:firstLine="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方责任、校方无过失责任保险均包含在每人每年责任限额、每校每次事故责任限额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和每校每年累计赔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偿限额中,无过失责任赔偿金额以总合理损失的40%为限(不含精神损害)。</w:t>
            </w:r>
          </w:p>
        </w:tc>
      </w:tr>
    </w:tbl>
    <w:p>
      <w:pPr>
        <w:spacing w:line="336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101" w:line="226" w:lineRule="auto"/>
        <w:ind w:left="392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3"/>
          <w:sz w:val="21"/>
          <w:szCs w:val="21"/>
        </w:rPr>
        <w:t>附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加险种</w:t>
      </w:r>
    </w:p>
    <w:p>
      <w:pPr>
        <w:spacing w:line="91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468" w:type="dxa"/>
        <w:tblInd w:w="3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880"/>
        <w:gridCol w:w="2964"/>
        <w:gridCol w:w="1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02" w:type="dxa"/>
          </w:tcPr>
          <w:p>
            <w:pPr>
              <w:spacing w:before="134" w:line="228" w:lineRule="auto"/>
              <w:ind w:left="69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sz w:val="21"/>
                <w:szCs w:val="21"/>
              </w:rPr>
              <w:t>项目</w:t>
            </w:r>
          </w:p>
        </w:tc>
        <w:tc>
          <w:tcPr>
            <w:tcW w:w="1880" w:type="dxa"/>
          </w:tcPr>
          <w:p>
            <w:pPr>
              <w:spacing w:before="133" w:line="228" w:lineRule="auto"/>
              <w:ind w:left="73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额</w:t>
            </w:r>
          </w:p>
        </w:tc>
        <w:tc>
          <w:tcPr>
            <w:tcW w:w="2964" w:type="dxa"/>
          </w:tcPr>
          <w:p>
            <w:pPr>
              <w:spacing w:before="133" w:line="228" w:lineRule="auto"/>
              <w:ind w:left="108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133" w:line="228" w:lineRule="auto"/>
              <w:ind w:left="29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额(万元)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002" w:type="dxa"/>
            <w:vMerge w:val="restart"/>
          </w:tcPr>
          <w:p>
            <w:pPr>
              <w:spacing w:line="27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77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63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校园食品安全责任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1"/>
                <w:szCs w:val="21"/>
              </w:rPr>
              <w:t>(优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化方案)</w:t>
            </w:r>
          </w:p>
        </w:tc>
        <w:tc>
          <w:tcPr>
            <w:tcW w:w="1880" w:type="dxa"/>
            <w:vMerge w:val="restart"/>
          </w:tcPr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76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sz w:val="21"/>
                <w:szCs w:val="21"/>
              </w:rPr>
              <w:t>元</w:t>
            </w:r>
          </w:p>
        </w:tc>
        <w:tc>
          <w:tcPr>
            <w:tcW w:w="2964" w:type="dxa"/>
          </w:tcPr>
          <w:p>
            <w:pPr>
              <w:spacing w:line="37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85" w:lineRule="auto"/>
              <w:ind w:left="964" w:right="114" w:hanging="84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校每年校园食品安全责任累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计赔偿限额</w:t>
            </w:r>
          </w:p>
        </w:tc>
        <w:tc>
          <w:tcPr>
            <w:tcW w:w="1622" w:type="dxa"/>
          </w:tcPr>
          <w:p>
            <w:pPr>
              <w:spacing w:before="36" w:line="228" w:lineRule="auto"/>
              <w:ind w:left="45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00万元</w:t>
            </w:r>
          </w:p>
          <w:p>
            <w:pPr>
              <w:spacing w:before="160" w:line="231" w:lineRule="auto"/>
              <w:ind w:left="19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sz w:val="21"/>
                <w:szCs w:val="21"/>
              </w:rPr>
              <w:t>≤1500人)</w:t>
            </w:r>
          </w:p>
          <w:p>
            <w:pPr>
              <w:spacing w:before="158" w:line="228" w:lineRule="auto"/>
              <w:ind w:left="45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00万元</w:t>
            </w:r>
          </w:p>
          <w:p>
            <w:pPr>
              <w:spacing w:before="160" w:line="231" w:lineRule="auto"/>
              <w:ind w:left="2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1"/>
                <w:szCs w:val="21"/>
              </w:rPr>
              <w:t>&gt;1500人)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6" w:line="228" w:lineRule="auto"/>
              <w:ind w:left="6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1622" w:type="dxa"/>
          </w:tcPr>
          <w:p>
            <w:pPr>
              <w:spacing w:before="37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5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每人每次事故赔偿限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6" w:line="228" w:lineRule="auto"/>
              <w:ind w:left="55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5" w:line="408" w:lineRule="exact"/>
              <w:ind w:left="12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position w:val="15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</w:rPr>
              <w:t>人每次事故医疗费用赔偿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  <w:lang w:val="en-US" w:eastAsia="zh-CN"/>
              </w:rPr>
              <w:t>限额</w:t>
            </w:r>
          </w:p>
        </w:tc>
        <w:tc>
          <w:tcPr>
            <w:tcW w:w="1622" w:type="dxa"/>
          </w:tcPr>
          <w:p>
            <w:pPr>
              <w:spacing w:before="239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000元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restart"/>
            <w:tcBorders>
              <w:bottom w:val="nil"/>
            </w:tcBorders>
          </w:tcPr>
          <w:p>
            <w:pPr>
              <w:spacing w:line="38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16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车承运人</w:t>
            </w:r>
          </w:p>
          <w:p>
            <w:pPr>
              <w:spacing w:before="65" w:line="228" w:lineRule="auto"/>
              <w:ind w:left="16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责任险</w:t>
            </w:r>
          </w:p>
        </w:tc>
        <w:tc>
          <w:tcPr>
            <w:tcW w:w="1880" w:type="dxa"/>
            <w:vMerge w:val="restart"/>
            <w:tcBorders>
              <w:bottom w:val="nil"/>
            </w:tcBorders>
          </w:tcPr>
          <w:p>
            <w:pPr>
              <w:spacing w:line="38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80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元</w:t>
            </w:r>
          </w:p>
        </w:tc>
        <w:tc>
          <w:tcPr>
            <w:tcW w:w="2964" w:type="dxa"/>
          </w:tcPr>
          <w:p>
            <w:pPr>
              <w:spacing w:before="31" w:line="228" w:lineRule="auto"/>
              <w:ind w:left="86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2" w:line="228" w:lineRule="auto"/>
              <w:ind w:left="4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sz w:val="21"/>
                <w:szCs w:val="21"/>
              </w:rPr>
              <w:t>600万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0" w:line="228" w:lineRule="auto"/>
              <w:ind w:left="6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1622" w:type="dxa"/>
          </w:tcPr>
          <w:p>
            <w:pPr>
              <w:spacing w:before="31" w:line="228" w:lineRule="auto"/>
              <w:ind w:left="46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2" w:line="228" w:lineRule="auto"/>
              <w:ind w:left="85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座赔偿限额</w:t>
            </w:r>
          </w:p>
        </w:tc>
        <w:tc>
          <w:tcPr>
            <w:tcW w:w="1622" w:type="dxa"/>
          </w:tcPr>
          <w:p>
            <w:pPr>
              <w:spacing w:before="33" w:line="228" w:lineRule="auto"/>
              <w:ind w:left="51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2" w:type="dxa"/>
            <w:vMerge w:val="restart"/>
            <w:tcBorders>
              <w:bottom w:val="nil"/>
            </w:tcBorders>
          </w:tcPr>
          <w:p>
            <w:pPr>
              <w:spacing w:before="40" w:line="228" w:lineRule="auto"/>
              <w:ind w:left="69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第三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者</w:t>
            </w:r>
          </w:p>
          <w:p>
            <w:pPr>
              <w:spacing w:before="160" w:line="228" w:lineRule="auto"/>
              <w:ind w:left="58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害责任</w:t>
            </w:r>
          </w:p>
          <w:p>
            <w:pPr>
              <w:spacing w:before="161" w:line="228" w:lineRule="auto"/>
              <w:ind w:left="79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保障</w:t>
            </w:r>
          </w:p>
        </w:tc>
        <w:tc>
          <w:tcPr>
            <w:tcW w:w="1880" w:type="dxa"/>
            <w:vMerge w:val="restart"/>
            <w:tcBorders>
              <w:bottom w:val="nil"/>
            </w:tcBorders>
          </w:tcPr>
          <w:p>
            <w:pPr>
              <w:spacing w:line="38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80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元</w:t>
            </w:r>
          </w:p>
        </w:tc>
        <w:tc>
          <w:tcPr>
            <w:tcW w:w="2964" w:type="dxa"/>
          </w:tcPr>
          <w:p>
            <w:pPr>
              <w:spacing w:before="31" w:line="228" w:lineRule="auto"/>
              <w:ind w:left="86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1" w:line="228" w:lineRule="auto"/>
              <w:ind w:left="46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4" w:line="228" w:lineRule="auto"/>
              <w:ind w:left="6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1622" w:type="dxa"/>
          </w:tcPr>
          <w:p>
            <w:pPr>
              <w:spacing w:before="34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2" w:line="228" w:lineRule="auto"/>
              <w:ind w:left="85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人赔偿限额</w:t>
            </w:r>
          </w:p>
        </w:tc>
        <w:tc>
          <w:tcPr>
            <w:tcW w:w="1622" w:type="dxa"/>
          </w:tcPr>
          <w:p>
            <w:pPr>
              <w:spacing w:before="33" w:line="228" w:lineRule="auto"/>
              <w:ind w:left="50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311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85" w:lineRule="auto"/>
              <w:ind w:left="482" w:right="53" w:hanging="41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校体育场馆对外开放公众责任</w:t>
            </w:r>
          </w:p>
        </w:tc>
        <w:tc>
          <w:tcPr>
            <w:tcW w:w="1880" w:type="dxa"/>
            <w:vMerge w:val="restart"/>
            <w:tcBorders>
              <w:bottom w:val="nil"/>
            </w:tcBorders>
          </w:tcPr>
          <w:p>
            <w:pPr>
              <w:spacing w:line="41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82" w:lineRule="auto"/>
              <w:ind w:left="36" w:firstLine="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3元(≤500人)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2元(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&gt;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500&lt;2000人)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(≧2000人)</w:t>
            </w:r>
          </w:p>
        </w:tc>
        <w:tc>
          <w:tcPr>
            <w:tcW w:w="2964" w:type="dxa"/>
          </w:tcPr>
          <w:p>
            <w:pPr>
              <w:spacing w:before="32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每所学校累计赔偿限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3" w:line="228" w:lineRule="auto"/>
              <w:ind w:left="41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000万元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1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每次事故最高赔偿限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2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55万元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62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每人每次事故赔偿限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133" w:line="228" w:lineRule="auto"/>
              <w:ind w:left="48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00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4" w:line="408" w:lineRule="exact"/>
              <w:ind w:left="12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position w:val="15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</w:rPr>
              <w:t>人每次事故医疗费用赔偿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  <w:lang w:val="en-US" w:eastAsia="zh-CN"/>
              </w:rPr>
              <w:t>限额</w:t>
            </w:r>
          </w:p>
        </w:tc>
        <w:tc>
          <w:tcPr>
            <w:tcW w:w="1622" w:type="dxa"/>
          </w:tcPr>
          <w:p>
            <w:pPr>
              <w:spacing w:line="24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53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468" w:type="dxa"/>
            <w:gridSpan w:val="4"/>
          </w:tcPr>
          <w:p>
            <w:pPr>
              <w:spacing w:before="36" w:line="408" w:lineRule="exact"/>
              <w:ind w:left="39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</w:pPr>
          </w:p>
          <w:p>
            <w:pPr>
              <w:spacing w:before="36" w:line="408" w:lineRule="exact"/>
              <w:ind w:left="39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position w:val="15"/>
                <w:sz w:val="21"/>
                <w:szCs w:val="21"/>
              </w:rPr>
              <w:t>备注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position w:val="15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</w:rPr>
              <w:t>校方责任、校方无过失责任保险均包含在每人每年责任限额、每校每次事故责任限额和每校每年累计赔偿限额中。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mI1NjJlMzA2YWVlMjZiNTFiYjg5NjRkNTAxNWQifQ=="/>
  </w:docVars>
  <w:rsids>
    <w:rsidRoot w:val="46201F7E"/>
    <w:rsid w:val="462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4"/>
      <w:szCs w:val="24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2022-10-12T02:59:00Z</dcterms:created>
  <dc:creator>NTKO</dc:creator>
  <cp:lastModifiedBy>NTKO</cp:lastModifiedBy>
  <dcterms:modified xsi:type="dcterms:W3CDTF">2022-10-12T02:59:23Z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8D8180EA3621424F853739CD3F726CF3</vt:lpwstr>
  </property>
</Properties>
</file>