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D649C">
      <w:pPr>
        <w:spacing w:line="360" w:lineRule="auto"/>
        <w:jc w:val="center"/>
        <w:outlineLvl w:val="0"/>
        <w:rPr>
          <w:rFonts w:hint="eastAsia" w:ascii="宋体" w:hAnsi="宋体" w:eastAsia="宋体" w:cs="@仿宋_GB2312"/>
          <w:b/>
          <w:color w:val="auto"/>
          <w:sz w:val="28"/>
          <w:szCs w:val="20"/>
          <w:highlight w:val="none"/>
          <w:lang w:eastAsia="zh-CN"/>
        </w:rPr>
      </w:pPr>
      <w:bookmarkStart w:id="0" w:name="_Toc25461"/>
      <w:r>
        <w:rPr>
          <w:rFonts w:hint="eastAsia" w:ascii="宋体" w:hAnsi="宋体" w:eastAsia="宋体" w:cs="@仿宋_GB2312"/>
          <w:b/>
          <w:color w:val="auto"/>
          <w:sz w:val="28"/>
          <w:szCs w:val="20"/>
          <w:highlight w:val="none"/>
        </w:rPr>
        <w:t xml:space="preserve"> 采购需求</w:t>
      </w:r>
      <w:bookmarkEnd w:id="0"/>
      <w:r>
        <w:rPr>
          <w:rFonts w:hint="eastAsia" w:ascii="宋体" w:hAnsi="宋体" w:eastAsia="宋体" w:cs="@仿宋_GB2312"/>
          <w:b/>
          <w:color w:val="auto"/>
          <w:sz w:val="28"/>
          <w:szCs w:val="20"/>
          <w:highlight w:val="none"/>
          <w:lang w:eastAsia="zh-CN"/>
        </w:rPr>
        <w:t>（</w:t>
      </w:r>
      <w:r>
        <w:rPr>
          <w:rFonts w:hint="eastAsia" w:ascii="宋体" w:hAnsi="宋体" w:eastAsia="宋体" w:cs="@仿宋_GB2312"/>
          <w:b/>
          <w:color w:val="auto"/>
          <w:sz w:val="28"/>
          <w:szCs w:val="20"/>
          <w:highlight w:val="none"/>
          <w:lang w:val="en-US" w:eastAsia="zh-CN"/>
        </w:rPr>
        <w:t>仅供参考，以采购文件为准</w:t>
      </w:r>
      <w:r>
        <w:rPr>
          <w:rFonts w:hint="eastAsia" w:ascii="宋体" w:hAnsi="宋体" w:eastAsia="宋体" w:cs="@仿宋_GB2312"/>
          <w:b/>
          <w:color w:val="auto"/>
          <w:sz w:val="28"/>
          <w:szCs w:val="20"/>
          <w:highlight w:val="none"/>
          <w:lang w:eastAsia="zh-CN"/>
        </w:rPr>
        <w:t>）</w:t>
      </w:r>
    </w:p>
    <w:p w14:paraId="72B595C9">
      <w:pPr>
        <w:spacing w:line="360" w:lineRule="auto"/>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前注：</w:t>
      </w:r>
    </w:p>
    <w:p w14:paraId="471FA26F">
      <w:pPr>
        <w:spacing w:line="360" w:lineRule="auto"/>
        <w:ind w:firstLine="480" w:firstLineChars="200"/>
        <w:rPr>
          <w:rFonts w:hint="eastAsia" w:ascii="仿宋" w:hAnsi="仿宋" w:eastAsia="仿宋" w:cs="仿宋"/>
          <w:color w:val="auto"/>
          <w:sz w:val="24"/>
          <w:szCs w:val="18"/>
          <w:highlight w:val="none"/>
        </w:rPr>
      </w:pPr>
      <w:r>
        <w:rPr>
          <w:rFonts w:hint="eastAsia" w:ascii="仿宋" w:hAnsi="仿宋" w:eastAsia="仿宋" w:cs="仿宋"/>
          <w:color w:val="auto"/>
          <w:sz w:val="24"/>
          <w:szCs w:val="20"/>
          <w:highlight w:val="none"/>
        </w:rPr>
        <w:t>1.</w:t>
      </w:r>
      <w:r>
        <w:rPr>
          <w:rFonts w:hint="eastAsia" w:ascii="仿宋" w:hAnsi="仿宋" w:eastAsia="仿宋" w:cs="仿宋"/>
          <w:color w:val="auto"/>
          <w:sz w:val="24"/>
          <w:szCs w:val="18"/>
          <w:highlight w:val="none"/>
        </w:rPr>
        <w:t>根据《政府采购进口产品管理办法》及政府采购管理部门的相关规定，下列采购需求中标注进口产品的货物均已履行相关论证手续，经核准采购进口产品，但不限制满足谈判文件要求的国内产品参与竞争。未标注进口产品的货物均为拒绝采购进口产品。</w:t>
      </w:r>
    </w:p>
    <w:p w14:paraId="0353A50A">
      <w:pPr>
        <w:spacing w:line="360" w:lineRule="auto"/>
        <w:ind w:firstLine="435"/>
        <w:rPr>
          <w:rFonts w:hint="eastAsia" w:ascii="仿宋" w:hAnsi="仿宋" w:eastAsia="仿宋" w:cs="仿宋"/>
          <w:color w:val="auto"/>
          <w:sz w:val="24"/>
          <w:szCs w:val="18"/>
          <w:highlight w:val="yellow"/>
        </w:rPr>
      </w:pPr>
      <w:r>
        <w:rPr>
          <w:rFonts w:hint="eastAsia" w:ascii="仿宋" w:hAnsi="仿宋" w:eastAsia="仿宋" w:cs="仿宋"/>
          <w:color w:val="auto"/>
          <w:sz w:val="24"/>
          <w:szCs w:val="24"/>
          <w:highlight w:val="none"/>
        </w:rPr>
        <w:t>2.</w:t>
      </w:r>
      <w:r>
        <w:rPr>
          <w:rFonts w:hint="eastAsia" w:ascii="仿宋" w:hAnsi="仿宋" w:eastAsia="仿宋" w:cs="仿宋"/>
          <w:sz w:val="24"/>
          <w:szCs w:val="24"/>
          <w:highlight w:val="none"/>
        </w:rPr>
        <w:t>政府采购政策（包括但不限于下列具体政策要求</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rPr>
        <w:t>：</w:t>
      </w:r>
    </w:p>
    <w:p w14:paraId="21FBE5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（1）如属于《节能产品政府采购品目清单》中政府强制采购的节能产品，则</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所投产品须具有市场监管总局公布的《参与实施政府采购节能产品认证机构目录》中的认证机构出具的、处于有效期内的节能产品认证证书。</w:t>
      </w:r>
    </w:p>
    <w:p w14:paraId="0A0997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（2）如涉及商品包装和快递包装，</w:t>
      </w:r>
      <w:r>
        <w:rPr>
          <w:rFonts w:hint="eastAsia" w:ascii="仿宋" w:hAnsi="仿宋" w:eastAsia="仿宋" w:cs="仿宋"/>
          <w:color w:val="auto"/>
          <w:sz w:val="24"/>
          <w:szCs w:val="24"/>
          <w:highlight w:val="none"/>
          <w:lang w:eastAsia="zh-CN"/>
        </w:rPr>
        <w:t>响应人</w:t>
      </w:r>
      <w:r>
        <w:rPr>
          <w:rFonts w:hint="eastAsia" w:ascii="仿宋" w:hAnsi="仿宋" w:eastAsia="仿宋" w:cs="仿宋"/>
          <w:color w:val="auto"/>
          <w:sz w:val="24"/>
          <w:szCs w:val="24"/>
          <w:highlight w:val="none"/>
        </w:rPr>
        <w:t>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5B004DF2">
      <w:pPr>
        <w:spacing w:line="360" w:lineRule="auto"/>
        <w:ind w:firstLine="435"/>
        <w:rPr>
          <w:rFonts w:hint="eastAsia" w:ascii="仿宋" w:hAnsi="仿宋" w:eastAsia="仿宋" w:cs="仿宋"/>
          <w:color w:val="auto"/>
          <w:sz w:val="24"/>
          <w:szCs w:val="18"/>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18"/>
        </w:rPr>
        <w:t>如采购人允许采用分包方式履行合同的，应当明确可以分包履行的相关内容。</w:t>
      </w:r>
    </w:p>
    <w:p w14:paraId="1FFAD6F9">
      <w:pPr>
        <w:spacing w:line="360" w:lineRule="auto"/>
        <w:ind w:firstLine="437"/>
        <w:outlineLvl w:val="1"/>
        <w:rPr>
          <w:rFonts w:hint="eastAsia" w:ascii="仿宋" w:hAnsi="仿宋" w:eastAsia="仿宋" w:cs="仿宋"/>
          <w:b/>
          <w:color w:val="auto"/>
          <w:sz w:val="24"/>
          <w:szCs w:val="18"/>
          <w:highlight w:val="none"/>
        </w:rPr>
      </w:pPr>
      <w:bookmarkStart w:id="1" w:name="_Toc20480"/>
      <w:bookmarkStart w:id="2" w:name="_Toc26457"/>
      <w:r>
        <w:rPr>
          <w:rFonts w:hint="eastAsia" w:ascii="仿宋" w:hAnsi="仿宋" w:eastAsia="仿宋" w:cs="仿宋"/>
          <w:b/>
          <w:color w:val="auto"/>
          <w:sz w:val="24"/>
          <w:szCs w:val="18"/>
          <w:highlight w:val="none"/>
        </w:rPr>
        <w:t>一、采购需求前附表</w:t>
      </w:r>
      <w:bookmarkEnd w:id="1"/>
      <w:bookmarkEnd w:id="2"/>
    </w:p>
    <w:tbl>
      <w:tblPr>
        <w:tblStyle w:val="2"/>
        <w:tblW w:w="55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101"/>
        <w:gridCol w:w="6441"/>
      </w:tblGrid>
      <w:tr w14:paraId="3DB8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27A0F512">
            <w:pPr>
              <w:widowControl w:val="0"/>
              <w:pBdr>
                <w:bottom w:val="none" w:color="auto" w:sz="0" w:space="0"/>
              </w:pBdr>
              <w:adjustRightInd/>
              <w:snapToGrid/>
              <w:spacing w:line="240" w:lineRule="auto"/>
              <w:jc w:val="center"/>
              <w:textAlignment w:val="auto"/>
              <w:rPr>
                <w:rFonts w:hint="eastAsia" w:ascii="仿宋" w:hAnsi="仿宋" w:eastAsia="仿宋" w:cs="仿宋"/>
                <w:b/>
                <w:color w:val="auto"/>
                <w:kern w:val="2"/>
                <w:sz w:val="21"/>
                <w:szCs w:val="21"/>
                <w:highlight w:val="none"/>
                <w:u w:val="none"/>
                <w:lang w:val="en-US" w:eastAsia="zh-CN" w:bidi="ar-SA"/>
              </w:rPr>
            </w:pPr>
            <w:r>
              <w:rPr>
                <w:rFonts w:hint="eastAsia" w:ascii="仿宋" w:hAnsi="仿宋" w:eastAsia="仿宋" w:cs="仿宋"/>
                <w:b/>
                <w:color w:val="auto"/>
                <w:kern w:val="2"/>
                <w:sz w:val="21"/>
                <w:szCs w:val="21"/>
                <w:highlight w:val="none"/>
                <w:u w:val="none"/>
                <w:lang w:val="en-US" w:eastAsia="zh-CN" w:bidi="ar-SA"/>
              </w:rPr>
              <w:t>序号</w:t>
            </w:r>
          </w:p>
        </w:tc>
        <w:tc>
          <w:tcPr>
            <w:tcW w:w="1114" w:type="pct"/>
            <w:vAlign w:val="center"/>
          </w:tcPr>
          <w:p w14:paraId="091A13A7">
            <w:pPr>
              <w:widowControl w:val="0"/>
              <w:spacing w:before="0" w:beforeAutospacing="0" w:after="0" w:afterAutospacing="0" w:line="240" w:lineRule="auto"/>
              <w:jc w:val="center"/>
              <w:rPr>
                <w:rFonts w:hint="eastAsia" w:ascii="仿宋" w:hAnsi="仿宋" w:eastAsia="仿宋" w:cs="仿宋"/>
                <w:b/>
                <w:bCs w:val="0"/>
                <w:color w:val="auto"/>
                <w:kern w:val="0"/>
                <w:sz w:val="21"/>
                <w:szCs w:val="21"/>
                <w:highlight w:val="none"/>
                <w:u w:val="none"/>
                <w:lang w:val="en-US" w:eastAsia="zh-CN" w:bidi="ar-SA"/>
              </w:rPr>
            </w:pPr>
            <w:r>
              <w:rPr>
                <w:rFonts w:hint="eastAsia" w:ascii="仿宋" w:hAnsi="仿宋" w:eastAsia="仿宋" w:cs="仿宋"/>
                <w:b/>
                <w:bCs w:val="0"/>
                <w:color w:val="auto"/>
                <w:kern w:val="0"/>
                <w:sz w:val="21"/>
                <w:szCs w:val="21"/>
                <w:highlight w:val="none"/>
                <w:u w:val="none"/>
                <w:lang w:val="en-US" w:eastAsia="zh-CN" w:bidi="ar-SA"/>
              </w:rPr>
              <w:t>条款名称</w:t>
            </w:r>
          </w:p>
        </w:tc>
        <w:tc>
          <w:tcPr>
            <w:tcW w:w="3415" w:type="pct"/>
            <w:vAlign w:val="center"/>
          </w:tcPr>
          <w:p w14:paraId="5AD0A3DE">
            <w:pPr>
              <w:widowControl w:val="0"/>
              <w:spacing w:before="0" w:beforeAutospacing="0" w:after="0" w:afterAutospacing="0" w:line="240" w:lineRule="auto"/>
              <w:jc w:val="center"/>
              <w:rPr>
                <w:rFonts w:hint="eastAsia" w:ascii="仿宋" w:hAnsi="仿宋" w:eastAsia="仿宋" w:cs="仿宋"/>
                <w:b/>
                <w:bCs w:val="0"/>
                <w:color w:val="auto"/>
                <w:kern w:val="0"/>
                <w:sz w:val="21"/>
                <w:szCs w:val="21"/>
                <w:highlight w:val="none"/>
                <w:u w:val="none"/>
                <w:lang w:val="en-US" w:eastAsia="zh-CN" w:bidi="ar-SA"/>
              </w:rPr>
            </w:pPr>
            <w:r>
              <w:rPr>
                <w:rFonts w:hint="eastAsia" w:ascii="仿宋" w:hAnsi="仿宋" w:eastAsia="仿宋" w:cs="仿宋"/>
                <w:b/>
                <w:bCs w:val="0"/>
                <w:color w:val="auto"/>
                <w:kern w:val="0"/>
                <w:sz w:val="21"/>
                <w:szCs w:val="21"/>
                <w:highlight w:val="none"/>
                <w:u w:val="none"/>
                <w:lang w:val="en-US" w:eastAsia="zh-CN" w:bidi="ar-SA"/>
              </w:rPr>
              <w:t>内容、说明与要求</w:t>
            </w:r>
          </w:p>
        </w:tc>
      </w:tr>
      <w:tr w14:paraId="3CBC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3D1D4167">
            <w:pPr>
              <w:widowControl w:val="0"/>
              <w:pBdr>
                <w:bottom w:val="none" w:color="auto" w:sz="0" w:space="0"/>
              </w:pBdr>
              <w:adjustRightInd/>
              <w:snapToGrid/>
              <w:spacing w:line="240" w:lineRule="auto"/>
              <w:jc w:val="center"/>
              <w:textAlignment w:val="auto"/>
              <w:rPr>
                <w:rFonts w:hint="eastAsia" w:ascii="仿宋" w:hAnsi="仿宋" w:eastAsia="仿宋" w:cs="仿宋"/>
                <w:bCs/>
                <w:color w:val="auto"/>
                <w:kern w:val="2"/>
                <w:sz w:val="21"/>
                <w:szCs w:val="21"/>
                <w:highlight w:val="none"/>
                <w:u w:val="none"/>
                <w:lang w:val="en-US" w:eastAsia="zh-CN" w:bidi="ar-SA"/>
              </w:rPr>
            </w:pPr>
            <w:r>
              <w:rPr>
                <w:rFonts w:hint="eastAsia" w:ascii="仿宋" w:hAnsi="仿宋" w:eastAsia="仿宋" w:cs="仿宋"/>
                <w:bCs/>
                <w:color w:val="auto"/>
                <w:kern w:val="2"/>
                <w:sz w:val="21"/>
                <w:szCs w:val="21"/>
                <w:highlight w:val="none"/>
                <w:u w:val="none"/>
                <w:lang w:val="en-US" w:eastAsia="zh-CN" w:bidi="ar-SA"/>
              </w:rPr>
              <w:t>1</w:t>
            </w:r>
          </w:p>
        </w:tc>
        <w:tc>
          <w:tcPr>
            <w:tcW w:w="1114" w:type="pct"/>
            <w:vAlign w:val="center"/>
          </w:tcPr>
          <w:p w14:paraId="282F95A6">
            <w:pPr>
              <w:widowControl w:val="0"/>
              <w:spacing w:before="0" w:beforeAutospacing="0" w:after="0" w:afterAutospacing="0" w:line="240" w:lineRule="auto"/>
              <w:jc w:val="center"/>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付款方式</w:t>
            </w:r>
          </w:p>
        </w:tc>
        <w:tc>
          <w:tcPr>
            <w:tcW w:w="3415" w:type="pct"/>
            <w:vAlign w:val="center"/>
          </w:tcPr>
          <w:p w14:paraId="4AE5B29D">
            <w:pPr>
              <w:widowControl w:val="0"/>
              <w:spacing w:before="0" w:beforeAutospacing="0" w:after="0" w:afterAutospacing="0" w:line="240" w:lineRule="auto"/>
              <w:jc w:val="both"/>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 xml:space="preserve">2026级新生军训服装费用由成交人在售卖现场按合同价款自行向学生收取 </w:t>
            </w:r>
          </w:p>
        </w:tc>
      </w:tr>
      <w:tr w14:paraId="26A1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0B9D5E4E">
            <w:pPr>
              <w:widowControl w:val="0"/>
              <w:pBdr>
                <w:bottom w:val="none" w:color="auto" w:sz="0" w:space="0"/>
              </w:pBdr>
              <w:adjustRightInd/>
              <w:snapToGrid/>
              <w:spacing w:line="240" w:lineRule="auto"/>
              <w:jc w:val="center"/>
              <w:textAlignment w:val="auto"/>
              <w:rPr>
                <w:rFonts w:hint="eastAsia" w:ascii="仿宋" w:hAnsi="仿宋" w:eastAsia="仿宋" w:cs="仿宋"/>
                <w:bCs/>
                <w:color w:val="auto"/>
                <w:kern w:val="2"/>
                <w:sz w:val="21"/>
                <w:szCs w:val="21"/>
                <w:highlight w:val="none"/>
                <w:u w:val="none"/>
                <w:lang w:val="en-US" w:eastAsia="zh-CN" w:bidi="ar-SA"/>
              </w:rPr>
            </w:pPr>
            <w:r>
              <w:rPr>
                <w:rFonts w:hint="eastAsia" w:ascii="仿宋" w:hAnsi="仿宋" w:eastAsia="仿宋" w:cs="仿宋"/>
                <w:bCs/>
                <w:color w:val="auto"/>
                <w:kern w:val="2"/>
                <w:sz w:val="21"/>
                <w:szCs w:val="21"/>
                <w:highlight w:val="none"/>
                <w:u w:val="none"/>
                <w:lang w:val="en-US" w:eastAsia="zh-CN" w:bidi="ar-SA"/>
              </w:rPr>
              <w:t>2</w:t>
            </w:r>
          </w:p>
        </w:tc>
        <w:tc>
          <w:tcPr>
            <w:tcW w:w="1114" w:type="pct"/>
            <w:vAlign w:val="center"/>
          </w:tcPr>
          <w:p w14:paraId="46C8D0D0">
            <w:pPr>
              <w:widowControl w:val="0"/>
              <w:spacing w:before="0" w:beforeAutospacing="0" w:after="0" w:afterAutospacing="0" w:line="240" w:lineRule="auto"/>
              <w:jc w:val="center"/>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供货及安装地点</w:t>
            </w:r>
          </w:p>
        </w:tc>
        <w:tc>
          <w:tcPr>
            <w:tcW w:w="3415" w:type="pct"/>
            <w:vAlign w:val="center"/>
          </w:tcPr>
          <w:p w14:paraId="2DF73CF0">
            <w:pPr>
              <w:widowControl w:val="0"/>
              <w:spacing w:before="0" w:beforeAutospacing="0" w:after="0" w:afterAutospacing="0" w:line="240" w:lineRule="auto"/>
              <w:jc w:val="both"/>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 xml:space="preserve">  采购人指定地点 </w:t>
            </w:r>
          </w:p>
        </w:tc>
      </w:tr>
      <w:tr w14:paraId="7BDC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30EE9B96">
            <w:pPr>
              <w:widowControl w:val="0"/>
              <w:pBdr>
                <w:bottom w:val="none" w:color="auto" w:sz="0" w:space="0"/>
              </w:pBdr>
              <w:adjustRightInd/>
              <w:snapToGrid/>
              <w:spacing w:line="240" w:lineRule="auto"/>
              <w:jc w:val="center"/>
              <w:textAlignment w:val="auto"/>
              <w:rPr>
                <w:rFonts w:hint="eastAsia" w:ascii="仿宋" w:hAnsi="仿宋" w:eastAsia="仿宋" w:cs="仿宋"/>
                <w:bCs/>
                <w:color w:val="auto"/>
                <w:kern w:val="2"/>
                <w:sz w:val="21"/>
                <w:szCs w:val="21"/>
                <w:highlight w:val="none"/>
                <w:u w:val="none"/>
                <w:lang w:val="en-US" w:eastAsia="zh-CN" w:bidi="ar-SA"/>
              </w:rPr>
            </w:pPr>
            <w:r>
              <w:rPr>
                <w:rFonts w:hint="eastAsia" w:ascii="仿宋" w:hAnsi="仿宋" w:eastAsia="仿宋" w:cs="仿宋"/>
                <w:bCs/>
                <w:color w:val="auto"/>
                <w:kern w:val="2"/>
                <w:sz w:val="21"/>
                <w:szCs w:val="21"/>
                <w:highlight w:val="none"/>
                <w:u w:val="none"/>
                <w:lang w:val="en-US" w:eastAsia="zh-CN" w:bidi="ar-SA"/>
              </w:rPr>
              <w:t>3</w:t>
            </w:r>
          </w:p>
        </w:tc>
        <w:tc>
          <w:tcPr>
            <w:tcW w:w="1114" w:type="pct"/>
            <w:vAlign w:val="center"/>
          </w:tcPr>
          <w:p w14:paraId="673ADD08">
            <w:pPr>
              <w:widowControl w:val="0"/>
              <w:spacing w:before="0" w:beforeAutospacing="0" w:after="0" w:afterAutospacing="0" w:line="240" w:lineRule="auto"/>
              <w:jc w:val="center"/>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供货及安装期限</w:t>
            </w:r>
          </w:p>
        </w:tc>
        <w:tc>
          <w:tcPr>
            <w:tcW w:w="3415" w:type="pct"/>
            <w:vAlign w:val="center"/>
          </w:tcPr>
          <w:p w14:paraId="6AAAE08A">
            <w:pPr>
              <w:widowControl w:val="0"/>
              <w:spacing w:before="0" w:beforeAutospacing="0" w:after="0" w:afterAutospacing="0" w:line="240" w:lineRule="auto"/>
              <w:jc w:val="both"/>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自合同签订之日</w:t>
            </w:r>
            <w:r>
              <w:rPr>
                <w:rFonts w:hint="eastAsia" w:ascii="仿宋" w:hAnsi="仿宋" w:eastAsia="仿宋" w:cs="仿宋"/>
                <w:b/>
                <w:bCs w:val="0"/>
                <w:color w:val="auto"/>
                <w:kern w:val="0"/>
                <w:sz w:val="21"/>
                <w:szCs w:val="21"/>
                <w:highlight w:val="none"/>
                <w:u w:val="none"/>
                <w:lang w:val="en-US" w:eastAsia="zh-CN" w:bidi="ar-SA"/>
              </w:rPr>
              <w:t>起40天</w:t>
            </w:r>
            <w:r>
              <w:rPr>
                <w:rFonts w:hint="eastAsia" w:ascii="仿宋" w:hAnsi="仿宋" w:eastAsia="仿宋" w:cs="仿宋"/>
                <w:b w:val="0"/>
                <w:bCs/>
                <w:color w:val="auto"/>
                <w:kern w:val="0"/>
                <w:sz w:val="21"/>
                <w:szCs w:val="21"/>
                <w:highlight w:val="none"/>
                <w:u w:val="none"/>
                <w:lang w:val="en-US" w:eastAsia="zh-CN" w:bidi="ar-SA"/>
              </w:rPr>
              <w:t>内一次性供货，成交人在供货时要提交所供服装检测报告</w:t>
            </w:r>
            <w:r>
              <w:rPr>
                <w:rFonts w:hint="eastAsia" w:ascii="仿宋" w:hAnsi="仿宋" w:eastAsia="仿宋" w:cs="仿宋"/>
                <w:b/>
                <w:bCs w:val="0"/>
                <w:color w:val="auto"/>
                <w:kern w:val="0"/>
                <w:sz w:val="21"/>
                <w:szCs w:val="21"/>
                <w:highlight w:val="none"/>
                <w:u w:val="none"/>
                <w:lang w:val="en-US" w:eastAsia="zh-CN" w:bidi="ar-SA"/>
              </w:rPr>
              <w:t>（带CMA标识）</w:t>
            </w:r>
          </w:p>
        </w:tc>
      </w:tr>
      <w:tr w14:paraId="4E6B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6AF61B1A">
            <w:pPr>
              <w:widowControl w:val="0"/>
              <w:pBdr>
                <w:bottom w:val="none" w:color="auto" w:sz="0" w:space="0"/>
              </w:pBdr>
              <w:adjustRightInd/>
              <w:snapToGrid/>
              <w:spacing w:line="240" w:lineRule="auto"/>
              <w:jc w:val="center"/>
              <w:textAlignment w:val="auto"/>
              <w:rPr>
                <w:rFonts w:hint="eastAsia" w:ascii="仿宋" w:hAnsi="仿宋" w:eastAsia="仿宋" w:cs="仿宋"/>
                <w:bCs/>
                <w:color w:val="auto"/>
                <w:kern w:val="2"/>
                <w:sz w:val="21"/>
                <w:szCs w:val="21"/>
                <w:highlight w:val="none"/>
                <w:u w:val="none"/>
                <w:lang w:val="en-US" w:eastAsia="zh-CN" w:bidi="ar-SA"/>
              </w:rPr>
            </w:pPr>
            <w:r>
              <w:rPr>
                <w:rFonts w:hint="eastAsia" w:ascii="仿宋" w:hAnsi="仿宋" w:eastAsia="仿宋" w:cs="仿宋"/>
                <w:bCs/>
                <w:color w:val="auto"/>
                <w:kern w:val="2"/>
                <w:sz w:val="21"/>
                <w:szCs w:val="21"/>
                <w:highlight w:val="none"/>
                <w:u w:val="none"/>
                <w:lang w:val="en-US" w:eastAsia="zh-CN" w:bidi="ar-SA"/>
              </w:rPr>
              <w:t>4</w:t>
            </w:r>
          </w:p>
        </w:tc>
        <w:tc>
          <w:tcPr>
            <w:tcW w:w="1114" w:type="pct"/>
            <w:vAlign w:val="center"/>
          </w:tcPr>
          <w:p w14:paraId="5E993251">
            <w:pPr>
              <w:widowControl w:val="0"/>
              <w:spacing w:before="0" w:beforeAutospacing="0" w:after="0" w:afterAutospacing="0" w:line="240" w:lineRule="auto"/>
              <w:jc w:val="center"/>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免费质保期</w:t>
            </w:r>
          </w:p>
        </w:tc>
        <w:tc>
          <w:tcPr>
            <w:tcW w:w="3415" w:type="pct"/>
            <w:vAlign w:val="center"/>
          </w:tcPr>
          <w:p w14:paraId="7DDC20FE">
            <w:pPr>
              <w:widowControl w:val="0"/>
              <w:spacing w:before="0" w:beforeAutospacing="0" w:after="0" w:afterAutospacing="0" w:line="240" w:lineRule="auto"/>
              <w:jc w:val="both"/>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 xml:space="preserve">       一年 </w:t>
            </w:r>
          </w:p>
        </w:tc>
      </w:tr>
      <w:tr w14:paraId="351B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69" w:type="pct"/>
            <w:vAlign w:val="center"/>
          </w:tcPr>
          <w:p w14:paraId="38E74D64">
            <w:pPr>
              <w:widowControl w:val="0"/>
              <w:pBdr>
                <w:bottom w:val="none" w:color="auto" w:sz="0" w:space="0"/>
              </w:pBdr>
              <w:adjustRightInd/>
              <w:snapToGrid/>
              <w:spacing w:line="240" w:lineRule="auto"/>
              <w:jc w:val="center"/>
              <w:textAlignment w:val="auto"/>
              <w:rPr>
                <w:rFonts w:hint="eastAsia" w:ascii="仿宋" w:hAnsi="仿宋" w:eastAsia="仿宋" w:cs="仿宋"/>
                <w:bCs/>
                <w:color w:val="auto"/>
                <w:kern w:val="2"/>
                <w:sz w:val="21"/>
                <w:szCs w:val="21"/>
                <w:highlight w:val="none"/>
                <w:u w:val="none"/>
                <w:lang w:val="en-US" w:eastAsia="zh-CN" w:bidi="ar-SA"/>
              </w:rPr>
            </w:pPr>
            <w:r>
              <w:rPr>
                <w:rFonts w:hint="eastAsia" w:ascii="仿宋" w:hAnsi="仿宋" w:eastAsia="仿宋" w:cs="仿宋"/>
                <w:bCs/>
                <w:color w:val="auto"/>
                <w:kern w:val="2"/>
                <w:sz w:val="21"/>
                <w:szCs w:val="21"/>
                <w:highlight w:val="none"/>
                <w:u w:val="none"/>
                <w:lang w:val="en-US" w:eastAsia="zh-CN" w:bidi="ar-SA"/>
              </w:rPr>
              <w:t>5</w:t>
            </w:r>
          </w:p>
        </w:tc>
        <w:tc>
          <w:tcPr>
            <w:tcW w:w="1114" w:type="pct"/>
            <w:vAlign w:val="center"/>
          </w:tcPr>
          <w:p w14:paraId="22413BFF">
            <w:pPr>
              <w:widowControl w:val="0"/>
              <w:spacing w:before="0" w:beforeAutospacing="0" w:after="0" w:afterAutospacing="0" w:line="240" w:lineRule="auto"/>
              <w:jc w:val="center"/>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商品包装要求</w:t>
            </w:r>
          </w:p>
        </w:tc>
        <w:tc>
          <w:tcPr>
            <w:tcW w:w="3415" w:type="pct"/>
            <w:vAlign w:val="center"/>
          </w:tcPr>
          <w:p w14:paraId="620A78F3">
            <w:pPr>
              <w:widowControl w:val="0"/>
              <w:spacing w:before="0" w:beforeAutospacing="0" w:after="0" w:afterAutospacing="0" w:line="240" w:lineRule="auto"/>
              <w:jc w:val="both"/>
              <w:rPr>
                <w:rFonts w:hint="eastAsia" w:ascii="仿宋" w:hAnsi="仿宋" w:eastAsia="仿宋" w:cs="仿宋"/>
                <w:b w:val="0"/>
                <w:bCs/>
                <w:color w:val="auto"/>
                <w:kern w:val="0"/>
                <w:sz w:val="21"/>
                <w:szCs w:val="21"/>
                <w:highlight w:val="none"/>
                <w:u w:val="none"/>
                <w:lang w:val="en-US" w:eastAsia="zh-CN" w:bidi="ar-SA"/>
              </w:rPr>
            </w:pPr>
            <w:r>
              <w:rPr>
                <w:rFonts w:hint="eastAsia" w:ascii="仿宋" w:hAnsi="仿宋" w:eastAsia="仿宋" w:cs="仿宋"/>
                <w:b w:val="0"/>
                <w:bCs/>
                <w:color w:val="auto"/>
                <w:kern w:val="0"/>
                <w:sz w:val="21"/>
                <w:szCs w:val="21"/>
                <w:highlight w:val="none"/>
                <w:u w:val="none"/>
                <w:lang w:val="en-US" w:eastAsia="zh-CN" w:bidi="ar-SA"/>
              </w:rPr>
              <w:t>除另有约定外，供应商交付全部货物的包装要求严格按照国家强制标准执行</w:t>
            </w:r>
          </w:p>
        </w:tc>
      </w:tr>
    </w:tbl>
    <w:p w14:paraId="43795CEB">
      <w:pPr>
        <w:spacing w:line="360" w:lineRule="auto"/>
        <w:ind w:firstLine="437"/>
        <w:outlineLvl w:val="1"/>
        <w:rPr>
          <w:rFonts w:hint="eastAsia" w:ascii="仿宋" w:hAnsi="仿宋" w:eastAsia="仿宋" w:cs="仿宋"/>
          <w:b/>
          <w:bCs/>
          <w:color w:val="auto"/>
          <w:sz w:val="24"/>
          <w:szCs w:val="18"/>
          <w:highlight w:val="none"/>
        </w:rPr>
      </w:pPr>
      <w:bookmarkStart w:id="3" w:name="_Toc8981"/>
      <w:bookmarkStart w:id="4" w:name="_Toc25805"/>
      <w:r>
        <w:rPr>
          <w:rFonts w:hint="eastAsia" w:ascii="仿宋" w:hAnsi="仿宋" w:eastAsia="仿宋" w:cs="仿宋"/>
          <w:b/>
          <w:bCs/>
          <w:color w:val="auto"/>
          <w:sz w:val="24"/>
          <w:szCs w:val="18"/>
          <w:highlight w:val="none"/>
        </w:rPr>
        <w:t>二、货物需求</w:t>
      </w:r>
      <w:bookmarkEnd w:id="3"/>
      <w:bookmarkEnd w:id="4"/>
    </w:p>
    <w:tbl>
      <w:tblPr>
        <w:tblStyle w:val="2"/>
        <w:tblW w:w="57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686"/>
        <w:gridCol w:w="3666"/>
        <w:gridCol w:w="735"/>
        <w:gridCol w:w="660"/>
        <w:gridCol w:w="771"/>
        <w:gridCol w:w="1625"/>
        <w:gridCol w:w="693"/>
        <w:gridCol w:w="567"/>
      </w:tblGrid>
      <w:tr w14:paraId="2A0D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54CE3C7D">
            <w:pPr>
              <w:widowControl/>
              <w:spacing w:line="240" w:lineRule="auto"/>
              <w:jc w:val="center"/>
              <w:rPr>
                <w:rFonts w:hint="eastAsia" w:ascii="仿宋" w:hAnsi="仿宋" w:eastAsia="仿宋" w:cs="仿宋"/>
                <w:color w:val="auto"/>
                <w:kern w:val="0"/>
                <w:sz w:val="18"/>
                <w:szCs w:val="18"/>
                <w:highlight w:val="none"/>
              </w:rPr>
            </w:pPr>
            <w:bookmarkStart w:id="5" w:name="_Toc18135"/>
            <w:bookmarkStart w:id="6" w:name="_Toc16712"/>
            <w:r>
              <w:rPr>
                <w:rFonts w:hint="eastAsia" w:ascii="仿宋" w:hAnsi="仿宋" w:eastAsia="仿宋" w:cs="仿宋"/>
                <w:color w:val="auto"/>
                <w:kern w:val="0"/>
                <w:sz w:val="18"/>
                <w:szCs w:val="18"/>
                <w:highlight w:val="none"/>
              </w:rPr>
              <w:t>序号</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7E221615">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货物</w:t>
            </w:r>
          </w:p>
          <w:p w14:paraId="0B0D1EC6">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名称</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17B9BCAC">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rPr>
              <w:t>技术参数</w:t>
            </w:r>
            <w:r>
              <w:rPr>
                <w:rFonts w:hint="eastAsia" w:ascii="仿宋" w:hAnsi="仿宋" w:eastAsia="仿宋" w:cs="仿宋"/>
                <w:color w:val="auto"/>
                <w:kern w:val="0"/>
                <w:sz w:val="18"/>
                <w:szCs w:val="18"/>
                <w:highlight w:val="none"/>
                <w:lang w:val="en-US" w:eastAsia="zh-CN"/>
              </w:rPr>
              <w:t>要求</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7C78C05F">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数量（单位）</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269BB4CB">
            <w:pPr>
              <w:widowControl/>
              <w:spacing w:line="240" w:lineRule="auto"/>
              <w:jc w:val="center"/>
              <w:rPr>
                <w:rFonts w:hint="eastAsia" w:ascii="仿宋" w:hAnsi="仿宋" w:eastAsia="仿宋" w:cs="仿宋"/>
                <w:color w:val="auto"/>
                <w:kern w:val="0"/>
                <w:sz w:val="18"/>
                <w:szCs w:val="18"/>
                <w:highlight w:val="none"/>
                <w:lang w:eastAsia="zh-CN"/>
              </w:rPr>
            </w:pPr>
            <w:r>
              <w:rPr>
                <w:rFonts w:hint="eastAsia" w:ascii="仿宋" w:hAnsi="仿宋" w:eastAsia="仿宋" w:cs="仿宋"/>
                <w:color w:val="auto"/>
                <w:kern w:val="0"/>
                <w:sz w:val="18"/>
                <w:szCs w:val="18"/>
                <w:highlight w:val="none"/>
                <w:lang w:val="en-US" w:eastAsia="zh-CN"/>
              </w:rPr>
              <w:t>是否为核心产品</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50BCFCD2">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所属</w:t>
            </w:r>
          </w:p>
          <w:p w14:paraId="0E0F3CB1">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行业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722D70C0">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参考图片</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0BB889CC">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单价（元）</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78A824EE">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备注</w:t>
            </w:r>
          </w:p>
        </w:tc>
      </w:tr>
      <w:tr w14:paraId="4611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56DF72DD">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44760AAD">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帽子</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0FAF70F2">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一、面料：斜纹面料，棉含量≥30%。</w:t>
            </w:r>
          </w:p>
          <w:p w14:paraId="5B568FCB">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二、同迷彩服面料，面料花型需配套，帽子带帽徽，帽子后端采用魔术贴搭扣缝制。</w:t>
            </w:r>
          </w:p>
          <w:p w14:paraId="3DA41F3F">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三、产品安全技术指标参数：符合GB18401-2010《国家纺织产品基本安全技术规范》B类有关标准。</w:t>
            </w:r>
          </w:p>
          <w:p w14:paraId="0F744671">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四、外观要求：刺绣帽徽、帽围大小可调节</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5F524642">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4000顶</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01765919">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否</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05D877B9">
            <w:pPr>
              <w:widowControl w:val="0"/>
              <w:spacing w:line="240" w:lineRule="auto"/>
              <w:jc w:val="center"/>
              <w:rPr>
                <w:rFonts w:hint="eastAsia" w:ascii="仿宋" w:hAnsi="仿宋" w:eastAsia="仿宋" w:cs="仿宋"/>
                <w:b/>
                <w:bCs/>
                <w:color w:val="auto"/>
                <w:kern w:val="2"/>
                <w:sz w:val="18"/>
                <w:szCs w:val="18"/>
                <w:highlight w:val="none"/>
                <w:lang w:val="en-US" w:eastAsia="zh-CN" w:bidi="ar-SA"/>
              </w:rPr>
            </w:pPr>
            <w:r>
              <w:rPr>
                <w:rFonts w:hint="eastAsia" w:ascii="仿宋" w:hAnsi="仿宋" w:eastAsia="仿宋" w:cs="仿宋"/>
                <w:b/>
                <w:bCs/>
                <w:color w:val="auto"/>
                <w:kern w:val="2"/>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1F09BA48">
            <w:pPr>
              <w:widowControl w:val="0"/>
              <w:spacing w:line="240" w:lineRule="auto"/>
              <w:jc w:val="left"/>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drawing>
                <wp:inline distT="0" distB="0" distL="114300" distR="114300">
                  <wp:extent cx="800100" cy="1066800"/>
                  <wp:effectExtent l="0" t="0" r="0" b="0"/>
                  <wp:docPr id="9" name="图片 1" descr="图片1.png（帽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图片1.png（帽子）"/>
                          <pic:cNvPicPr>
                            <a:picLocks noChangeAspect="1"/>
                          </pic:cNvPicPr>
                        </pic:nvPicPr>
                        <pic:blipFill>
                          <a:blip r:embed="rId4"/>
                          <a:stretch>
                            <a:fillRect/>
                          </a:stretch>
                        </pic:blipFill>
                        <pic:spPr>
                          <a:xfrm>
                            <a:off x="0" y="0"/>
                            <a:ext cx="800100" cy="106680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3035CA0B">
            <w:pPr>
              <w:widowControl w:val="0"/>
              <w:spacing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5</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7EDF06F8">
            <w:pPr>
              <w:widowControl w:val="0"/>
              <w:spacing w:line="240" w:lineRule="auto"/>
              <w:jc w:val="left"/>
              <w:rPr>
                <w:rFonts w:hint="eastAsia" w:ascii="仿宋" w:hAnsi="仿宋" w:eastAsia="仿宋" w:cs="仿宋"/>
                <w:color w:val="auto"/>
                <w:kern w:val="0"/>
                <w:sz w:val="24"/>
                <w:szCs w:val="22"/>
                <w:highlight w:val="none"/>
                <w:lang w:val="en-US" w:eastAsia="zh-CN" w:bidi="ar-SA"/>
              </w:rPr>
            </w:pPr>
          </w:p>
        </w:tc>
      </w:tr>
      <w:tr w14:paraId="6D71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162BC0C3">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4E8E8BD8">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短袖T恤</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0ECC5071">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一、圆领，面料单位面积质量（g/m2）:≥130，棉含量≥90%，做工精细，透气、美观。</w:t>
            </w:r>
          </w:p>
          <w:p w14:paraId="6CB1A6B1">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二、产品安全技术指标：符合GB18401-2010《国家纺织产品基本安全技术规范》B类有关标准。</w:t>
            </w:r>
          </w:p>
          <w:p w14:paraId="44CFD054">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三、产品技术指标参数符合FZ/T 73008-2002针织T恤衫标准。</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1540D66C">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4000件</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2CB901AF">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否</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21C0A48A">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67060C86">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drawing>
                <wp:inline distT="0" distB="0" distL="114300" distR="114300">
                  <wp:extent cx="851535" cy="868680"/>
                  <wp:effectExtent l="0" t="0" r="12065" b="7620"/>
                  <wp:docPr id="8" name="图片 2" descr="图片1.png（T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图片1.png（T恤）"/>
                          <pic:cNvPicPr>
                            <a:picLocks noChangeAspect="1"/>
                          </pic:cNvPicPr>
                        </pic:nvPicPr>
                        <pic:blipFill>
                          <a:blip r:embed="rId5"/>
                          <a:stretch>
                            <a:fillRect/>
                          </a:stretch>
                        </pic:blipFill>
                        <pic:spPr>
                          <a:xfrm>
                            <a:off x="0" y="0"/>
                            <a:ext cx="851535" cy="86868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269684A7">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20</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3A38E46B">
            <w:pPr>
              <w:widowControl w:val="0"/>
              <w:spacing w:line="240" w:lineRule="auto"/>
              <w:jc w:val="center"/>
              <w:rPr>
                <w:rFonts w:hint="eastAsia" w:ascii="仿宋" w:hAnsi="仿宋" w:eastAsia="仿宋" w:cs="仿宋"/>
                <w:color w:val="auto"/>
                <w:kern w:val="0"/>
                <w:sz w:val="21"/>
                <w:szCs w:val="21"/>
                <w:highlight w:val="none"/>
                <w:lang w:val="en-US" w:eastAsia="zh-CN" w:bidi="ar-SA"/>
              </w:rPr>
            </w:pPr>
          </w:p>
        </w:tc>
      </w:tr>
      <w:tr w14:paraId="1920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40492882">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02F622F4">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迷彩服套装</w:t>
            </w:r>
          </w:p>
          <w:p w14:paraId="56CE412C">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（上衣）</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7EB26E47">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一、面料：斜纹面料，棉含量≥30%，单位面积质量（g/m2）:≥195。</w:t>
            </w:r>
          </w:p>
          <w:p w14:paraId="6CD9559A">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二、产品安全技术指标：符合GB18401-2010《国家纺织产品基本安全技术规范》B类有关标准。</w:t>
            </w:r>
          </w:p>
          <w:p w14:paraId="1019AEB1">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三、产品技术指标参数符合FZ/T 81007-2012 单、夹服装标准。</w:t>
            </w:r>
          </w:p>
          <w:p w14:paraId="22F881E5">
            <w:pPr>
              <w:widowControl/>
              <w:spacing w:line="240" w:lineRule="auto"/>
              <w:jc w:val="left"/>
              <w:rPr>
                <w:rFonts w:hint="eastAsia" w:ascii="仿宋" w:hAnsi="仿宋" w:eastAsia="仿宋" w:cs="仿宋"/>
                <w:color w:val="auto"/>
                <w:kern w:val="0"/>
                <w:sz w:val="18"/>
                <w:szCs w:val="18"/>
                <w:highlight w:val="none"/>
              </w:rPr>
            </w:pPr>
          </w:p>
        </w:tc>
        <w:tc>
          <w:tcPr>
            <w:tcW w:w="373" w:type="pct"/>
            <w:tcBorders>
              <w:top w:val="single" w:color="auto" w:sz="4" w:space="0"/>
              <w:left w:val="single" w:color="auto" w:sz="4" w:space="0"/>
              <w:bottom w:val="single" w:color="auto" w:sz="4" w:space="0"/>
              <w:right w:val="single" w:color="auto" w:sz="4" w:space="0"/>
            </w:tcBorders>
            <w:noWrap w:val="0"/>
            <w:vAlign w:val="center"/>
          </w:tcPr>
          <w:p w14:paraId="0EC4D923">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4000件</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18F9DCD6">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是</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45759FCF">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680205BF">
            <w:pPr>
              <w:widowControl w:val="0"/>
              <w:spacing w:line="240" w:lineRule="auto"/>
              <w:jc w:val="both"/>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kern w:val="0"/>
                <w:sz w:val="21"/>
                <w:szCs w:val="21"/>
                <w:lang w:val="en-US" w:eastAsia="zh-CN" w:bidi="ar-SA"/>
              </w:rPr>
              <w:drawing>
                <wp:inline distT="0" distB="0" distL="114300" distR="114300">
                  <wp:extent cx="853440" cy="853440"/>
                  <wp:effectExtent l="0" t="0" r="10160" b="10160"/>
                  <wp:docPr id="1" name="图片 1" descr="图片1.png（套装上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png（套装上衣）"/>
                          <pic:cNvPicPr>
                            <a:picLocks noChangeAspect="1"/>
                          </pic:cNvPicPr>
                        </pic:nvPicPr>
                        <pic:blipFill>
                          <a:blip r:embed="rId6"/>
                          <a:stretch>
                            <a:fillRect/>
                          </a:stretch>
                        </pic:blipFill>
                        <pic:spPr>
                          <a:xfrm>
                            <a:off x="0" y="0"/>
                            <a:ext cx="853440" cy="85344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2F0D43C3">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30</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653601FD">
            <w:pPr>
              <w:widowControl w:val="0"/>
              <w:spacing w:line="240" w:lineRule="auto"/>
              <w:jc w:val="center"/>
              <w:rPr>
                <w:rFonts w:hint="eastAsia" w:ascii="仿宋" w:hAnsi="仿宋" w:eastAsia="仿宋" w:cs="仿宋"/>
                <w:color w:val="auto"/>
                <w:kern w:val="0"/>
                <w:sz w:val="21"/>
                <w:szCs w:val="21"/>
                <w:highlight w:val="none"/>
                <w:lang w:val="en-US" w:eastAsia="zh-CN" w:bidi="ar-SA"/>
              </w:rPr>
            </w:pPr>
          </w:p>
        </w:tc>
      </w:tr>
      <w:tr w14:paraId="108F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0F60FDD0">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2AA8419A">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迷彩服套装</w:t>
            </w:r>
          </w:p>
          <w:p w14:paraId="0D72C233">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（长裤）</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1EF3701F">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一、面料：斜纹面料，棉含量≥30%，单位面积质量（g/m2）:≥195。</w:t>
            </w:r>
          </w:p>
          <w:p w14:paraId="233FA30A">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二、产品安全技术指标参数：符合GB18401-2010《国家纺织产品基本安全技术规范》B类有关标准。</w:t>
            </w:r>
          </w:p>
          <w:p w14:paraId="3E85C9DE">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三、产品技术指标参数符合FZ/T 81007-2012 单、夹服装标准。</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69A1589D">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4000件</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6BF4A963">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否</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68AA8E31">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06E9DC11">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kern w:val="0"/>
                <w:sz w:val="21"/>
                <w:szCs w:val="21"/>
                <w:lang w:val="en-US" w:eastAsia="zh-CN" w:bidi="ar-SA"/>
              </w:rPr>
              <w:drawing>
                <wp:inline distT="0" distB="0" distL="114300" distR="114300">
                  <wp:extent cx="853440" cy="853440"/>
                  <wp:effectExtent l="0" t="0" r="10160" b="10160"/>
                  <wp:docPr id="2" name="图片 2" descr="图片1.png（套装长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png（套装长裤）"/>
                          <pic:cNvPicPr>
                            <a:picLocks noChangeAspect="1"/>
                          </pic:cNvPicPr>
                        </pic:nvPicPr>
                        <pic:blipFill>
                          <a:blip r:embed="rId6"/>
                          <a:stretch>
                            <a:fillRect/>
                          </a:stretch>
                        </pic:blipFill>
                        <pic:spPr>
                          <a:xfrm>
                            <a:off x="0" y="0"/>
                            <a:ext cx="853440" cy="85344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6058D05E">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25</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38CB47E7">
            <w:pPr>
              <w:widowControl w:val="0"/>
              <w:spacing w:line="240" w:lineRule="auto"/>
              <w:jc w:val="center"/>
              <w:rPr>
                <w:rFonts w:hint="eastAsia" w:ascii="仿宋" w:hAnsi="仿宋" w:eastAsia="仿宋" w:cs="仿宋"/>
                <w:color w:val="auto"/>
                <w:kern w:val="0"/>
                <w:sz w:val="21"/>
                <w:szCs w:val="21"/>
                <w:highlight w:val="none"/>
                <w:lang w:val="en-US" w:eastAsia="zh-CN" w:bidi="ar-SA"/>
              </w:rPr>
            </w:pPr>
          </w:p>
        </w:tc>
      </w:tr>
      <w:tr w14:paraId="0A56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413EA826">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42742F74">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编织腰带</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5C4EA706">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一、编织帆布腰带，结实，耐用。</w:t>
            </w:r>
          </w:p>
          <w:p w14:paraId="7CD4429A">
            <w:pPr>
              <w:widowControl/>
              <w:spacing w:line="240" w:lineRule="auto"/>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二、产品安全技术指标：符合GB18401-2010《国家纺织产品基本安全技术规范》C类有关标准。</w:t>
            </w:r>
          </w:p>
          <w:p w14:paraId="71CA1367">
            <w:pPr>
              <w:widowControl/>
              <w:spacing w:line="240" w:lineRule="auto"/>
              <w:jc w:val="left"/>
              <w:rPr>
                <w:rFonts w:hint="eastAsia" w:ascii="仿宋" w:hAnsi="仿宋" w:eastAsia="仿宋" w:cs="仿宋"/>
                <w:color w:val="auto"/>
                <w:sz w:val="18"/>
                <w:szCs w:val="18"/>
                <w:highlight w:val="none"/>
              </w:rPr>
            </w:pPr>
            <w:r>
              <w:rPr>
                <w:rFonts w:hint="eastAsia" w:ascii="仿宋" w:hAnsi="仿宋" w:eastAsia="仿宋" w:cs="仿宋"/>
                <w:color w:val="auto"/>
                <w:kern w:val="0"/>
                <w:sz w:val="18"/>
                <w:szCs w:val="18"/>
                <w:highlight w:val="none"/>
              </w:rPr>
              <w:t>三、外观要求：折合方式插扣、带头宽≥6cm、带身宽≥5cm、带身长≥135cm</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44476A01">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4000条</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7BE7D5E7">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否</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4D7EC782">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0413DB37">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drawing>
                <wp:inline distT="0" distB="0" distL="114300" distR="114300">
                  <wp:extent cx="853440" cy="853440"/>
                  <wp:effectExtent l="0" t="0" r="10160" b="10160"/>
                  <wp:docPr id="6" name="图片 5" descr="图片1.png（腰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片1.png（腰带）"/>
                          <pic:cNvPicPr>
                            <a:picLocks noChangeAspect="1"/>
                          </pic:cNvPicPr>
                        </pic:nvPicPr>
                        <pic:blipFill>
                          <a:blip r:embed="rId7"/>
                          <a:stretch>
                            <a:fillRect/>
                          </a:stretch>
                        </pic:blipFill>
                        <pic:spPr>
                          <a:xfrm>
                            <a:off x="0" y="0"/>
                            <a:ext cx="853440" cy="85344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1C340EE3">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4CEEAC6A">
            <w:pPr>
              <w:widowControl w:val="0"/>
              <w:spacing w:line="240" w:lineRule="auto"/>
              <w:jc w:val="center"/>
              <w:rPr>
                <w:rFonts w:hint="eastAsia" w:ascii="仿宋" w:hAnsi="仿宋" w:eastAsia="仿宋" w:cs="仿宋"/>
                <w:color w:val="auto"/>
                <w:kern w:val="0"/>
                <w:sz w:val="21"/>
                <w:szCs w:val="21"/>
                <w:highlight w:val="none"/>
                <w:lang w:val="en-US" w:eastAsia="zh-CN" w:bidi="ar-SA"/>
              </w:rPr>
            </w:pPr>
          </w:p>
        </w:tc>
      </w:tr>
      <w:tr w14:paraId="06C1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226" w:type="pct"/>
            <w:tcBorders>
              <w:top w:val="single" w:color="auto" w:sz="4" w:space="0"/>
              <w:left w:val="single" w:color="auto" w:sz="4" w:space="0"/>
              <w:bottom w:val="single" w:color="auto" w:sz="4" w:space="0"/>
              <w:right w:val="single" w:color="auto" w:sz="4" w:space="0"/>
            </w:tcBorders>
            <w:noWrap w:val="0"/>
            <w:vAlign w:val="center"/>
          </w:tcPr>
          <w:p w14:paraId="205CDA2C">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w:t>
            </w:r>
          </w:p>
        </w:tc>
        <w:tc>
          <w:tcPr>
            <w:tcW w:w="348" w:type="pct"/>
            <w:tcBorders>
              <w:top w:val="single" w:color="auto" w:sz="4" w:space="0"/>
              <w:left w:val="single" w:color="auto" w:sz="4" w:space="0"/>
              <w:bottom w:val="single" w:color="auto" w:sz="4" w:space="0"/>
              <w:right w:val="single" w:color="auto" w:sz="4" w:space="0"/>
            </w:tcBorders>
            <w:noWrap w:val="0"/>
            <w:vAlign w:val="center"/>
          </w:tcPr>
          <w:p w14:paraId="08FB6B43">
            <w:pPr>
              <w:widowControl/>
              <w:spacing w:line="240" w:lineRule="auto"/>
              <w:jc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鞋子</w:t>
            </w:r>
          </w:p>
        </w:tc>
        <w:tc>
          <w:tcPr>
            <w:tcW w:w="1860" w:type="pct"/>
            <w:tcBorders>
              <w:top w:val="single" w:color="auto" w:sz="4" w:space="0"/>
              <w:left w:val="single" w:color="auto" w:sz="4" w:space="0"/>
              <w:bottom w:val="single" w:color="auto" w:sz="4" w:space="0"/>
              <w:right w:val="single" w:color="auto" w:sz="4" w:space="0"/>
            </w:tcBorders>
            <w:noWrap w:val="0"/>
            <w:vAlign w:val="center"/>
          </w:tcPr>
          <w:p w14:paraId="373E9925">
            <w:pPr>
              <w:widowControl/>
              <w:spacing w:line="240" w:lineRule="auto"/>
              <w:jc w:val="left"/>
              <w:rPr>
                <w:rFonts w:hint="eastAsia" w:ascii="仿宋" w:hAnsi="仿宋" w:eastAsia="仿宋" w:cs="仿宋"/>
                <w:color w:val="auto"/>
                <w:kern w:val="0"/>
                <w:sz w:val="18"/>
                <w:szCs w:val="18"/>
                <w:highlight w:val="none"/>
                <w:lang w:eastAsia="zh-CN"/>
              </w:rPr>
            </w:pPr>
            <w:r>
              <w:rPr>
                <w:rFonts w:hint="eastAsia" w:ascii="仿宋" w:hAnsi="仿宋" w:eastAsia="仿宋" w:cs="仿宋"/>
                <w:color w:val="auto"/>
                <w:kern w:val="0"/>
                <w:sz w:val="18"/>
                <w:szCs w:val="18"/>
                <w:highlight w:val="none"/>
              </w:rPr>
              <w:t>产品技术指标参数符合HG/T 2018-2014《轻便胶鞋》相关标准。</w:t>
            </w:r>
          </w:p>
        </w:tc>
        <w:tc>
          <w:tcPr>
            <w:tcW w:w="373" w:type="pct"/>
            <w:tcBorders>
              <w:top w:val="single" w:color="auto" w:sz="4" w:space="0"/>
              <w:left w:val="single" w:color="auto" w:sz="4" w:space="0"/>
              <w:bottom w:val="single" w:color="auto" w:sz="4" w:space="0"/>
              <w:right w:val="single" w:color="auto" w:sz="4" w:space="0"/>
            </w:tcBorders>
            <w:noWrap w:val="0"/>
            <w:vAlign w:val="center"/>
          </w:tcPr>
          <w:p w14:paraId="7AC189DA">
            <w:pPr>
              <w:widowControl/>
              <w:spacing w:line="240" w:lineRule="auto"/>
              <w:jc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4000双</w:t>
            </w:r>
          </w:p>
        </w:tc>
        <w:tc>
          <w:tcPr>
            <w:tcW w:w="335" w:type="pct"/>
            <w:tcBorders>
              <w:top w:val="single" w:color="auto" w:sz="4" w:space="0"/>
              <w:left w:val="single" w:color="auto" w:sz="4" w:space="0"/>
              <w:bottom w:val="single" w:color="auto" w:sz="4" w:space="0"/>
              <w:right w:val="single" w:color="auto" w:sz="4" w:space="0"/>
            </w:tcBorders>
            <w:noWrap w:val="0"/>
            <w:vAlign w:val="center"/>
          </w:tcPr>
          <w:p w14:paraId="3328146F">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否</w:t>
            </w:r>
          </w:p>
        </w:tc>
        <w:tc>
          <w:tcPr>
            <w:tcW w:w="391" w:type="pct"/>
            <w:tcBorders>
              <w:top w:val="single" w:color="auto" w:sz="4" w:space="0"/>
              <w:left w:val="single" w:color="auto" w:sz="4" w:space="0"/>
              <w:bottom w:val="single" w:color="auto" w:sz="4" w:space="0"/>
              <w:right w:val="single" w:color="auto" w:sz="4" w:space="0"/>
            </w:tcBorders>
            <w:noWrap w:val="0"/>
            <w:vAlign w:val="center"/>
          </w:tcPr>
          <w:p w14:paraId="762CBA67">
            <w:pPr>
              <w:widowControl w:val="0"/>
              <w:spacing w:line="240" w:lineRule="auto"/>
              <w:jc w:val="center"/>
              <w:rPr>
                <w:rFonts w:hint="eastAsia" w:ascii="仿宋" w:hAnsi="仿宋" w:eastAsia="仿宋" w:cs="仿宋"/>
                <w:color w:val="auto"/>
                <w:kern w:val="0"/>
                <w:sz w:val="18"/>
                <w:szCs w:val="18"/>
                <w:highlight w:val="none"/>
                <w:lang w:val="en-US" w:eastAsia="zh-CN" w:bidi="ar-SA"/>
              </w:rPr>
            </w:pPr>
            <w:r>
              <w:rPr>
                <w:rFonts w:hint="eastAsia" w:ascii="仿宋" w:hAnsi="仿宋" w:eastAsia="仿宋" w:cs="仿宋"/>
                <w:color w:val="auto"/>
                <w:kern w:val="0"/>
                <w:sz w:val="18"/>
                <w:szCs w:val="18"/>
                <w:highlight w:val="none"/>
                <w:lang w:val="en-US" w:eastAsia="zh-CN" w:bidi="ar-SA"/>
              </w:rPr>
              <w:t>工业</w:t>
            </w:r>
          </w:p>
        </w:tc>
        <w:tc>
          <w:tcPr>
            <w:tcW w:w="824" w:type="pct"/>
            <w:tcBorders>
              <w:top w:val="single" w:color="auto" w:sz="4" w:space="0"/>
              <w:left w:val="single" w:color="auto" w:sz="4" w:space="0"/>
              <w:bottom w:val="single" w:color="auto" w:sz="4" w:space="0"/>
              <w:right w:val="single" w:color="auto" w:sz="4" w:space="0"/>
            </w:tcBorders>
            <w:noWrap w:val="0"/>
            <w:vAlign w:val="center"/>
          </w:tcPr>
          <w:p w14:paraId="457CE496">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drawing>
                <wp:inline distT="0" distB="0" distL="114300" distR="114300">
                  <wp:extent cx="853440" cy="853440"/>
                  <wp:effectExtent l="0" t="0" r="10160" b="10160"/>
                  <wp:docPr id="10" name="图片 6" descr="图片1.png（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片1.png（鞋）"/>
                          <pic:cNvPicPr>
                            <a:picLocks noChangeAspect="1"/>
                          </pic:cNvPicPr>
                        </pic:nvPicPr>
                        <pic:blipFill>
                          <a:blip r:embed="rId8"/>
                          <a:stretch>
                            <a:fillRect/>
                          </a:stretch>
                        </pic:blipFill>
                        <pic:spPr>
                          <a:xfrm>
                            <a:off x="0" y="0"/>
                            <a:ext cx="853440" cy="853440"/>
                          </a:xfrm>
                          <a:prstGeom prst="rect">
                            <a:avLst/>
                          </a:prstGeom>
                          <a:noFill/>
                          <a:ln>
                            <a:noFill/>
                          </a:ln>
                        </pic:spPr>
                      </pic:pic>
                    </a:graphicData>
                  </a:graphic>
                </wp:inline>
              </w:drawing>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0488CBDA">
            <w:pPr>
              <w:widowControl w:val="0"/>
              <w:spacing w:line="240" w:lineRule="auto"/>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15</w:t>
            </w:r>
          </w:p>
        </w:tc>
        <w:tc>
          <w:tcPr>
            <w:tcW w:w="287" w:type="pct"/>
            <w:tcBorders>
              <w:top w:val="single" w:color="auto" w:sz="4" w:space="0"/>
              <w:left w:val="single" w:color="auto" w:sz="4" w:space="0"/>
              <w:bottom w:val="single" w:color="auto" w:sz="4" w:space="0"/>
              <w:right w:val="single" w:color="auto" w:sz="4" w:space="0"/>
            </w:tcBorders>
            <w:noWrap w:val="0"/>
            <w:vAlign w:val="center"/>
          </w:tcPr>
          <w:p w14:paraId="5DC15026">
            <w:pPr>
              <w:widowControl w:val="0"/>
              <w:spacing w:line="240" w:lineRule="auto"/>
              <w:jc w:val="center"/>
              <w:rPr>
                <w:rFonts w:hint="eastAsia" w:ascii="仿宋" w:hAnsi="仿宋" w:eastAsia="仿宋" w:cs="仿宋"/>
                <w:color w:val="auto"/>
                <w:kern w:val="0"/>
                <w:sz w:val="21"/>
                <w:szCs w:val="21"/>
                <w:highlight w:val="none"/>
                <w:lang w:val="en-US" w:eastAsia="zh-CN" w:bidi="ar-SA"/>
              </w:rPr>
            </w:pPr>
          </w:p>
        </w:tc>
      </w:tr>
      <w:tr w14:paraId="6FE5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5000" w:type="pct"/>
            <w:gridSpan w:val="9"/>
            <w:tcBorders>
              <w:top w:val="single" w:color="auto" w:sz="4" w:space="0"/>
              <w:left w:val="single" w:color="auto" w:sz="4" w:space="0"/>
              <w:bottom w:val="single" w:color="auto" w:sz="4" w:space="0"/>
              <w:right w:val="single" w:color="auto" w:sz="4" w:space="0"/>
            </w:tcBorders>
            <w:noWrap w:val="0"/>
            <w:vAlign w:val="top"/>
          </w:tcPr>
          <w:p w14:paraId="2B59E3F4">
            <w:pPr>
              <w:pageBreakBefore w:val="0"/>
              <w:widowControl/>
              <w:kinsoku/>
              <w:overflowPunct/>
              <w:topLinePunct w:val="0"/>
              <w:bidi w:val="0"/>
              <w:snapToGrid/>
              <w:spacing w:line="240" w:lineRule="auto"/>
              <w:jc w:val="left"/>
              <w:textAlignment w:val="auto"/>
              <w:rPr>
                <w:rFonts w:hint="eastAsia" w:ascii="仿宋" w:hAnsi="仿宋" w:eastAsia="仿宋" w:cs="仿宋"/>
                <w:b w:val="0"/>
                <w:color w:val="auto"/>
                <w:kern w:val="2"/>
                <w:sz w:val="21"/>
                <w:szCs w:val="21"/>
                <w:highlight w:val="none"/>
                <w:shd w:val="clear" w:color="auto" w:fill="auto"/>
                <w:lang w:val="en-US" w:eastAsia="zh-CN" w:bidi="ar-SA"/>
              </w:rPr>
            </w:pPr>
            <w:r>
              <w:rPr>
                <w:rFonts w:hint="eastAsia" w:ascii="仿宋" w:hAnsi="仿宋" w:eastAsia="仿宋" w:cs="仿宋"/>
                <w:b w:val="0"/>
                <w:color w:val="auto"/>
                <w:kern w:val="2"/>
                <w:sz w:val="21"/>
                <w:szCs w:val="21"/>
                <w:highlight w:val="none"/>
                <w:shd w:val="clear" w:color="auto" w:fill="auto"/>
                <w:lang w:val="en-US" w:eastAsia="zh-CN" w:bidi="ar-SA"/>
              </w:rPr>
              <w:t>说明：</w:t>
            </w:r>
            <w:r>
              <w:rPr>
                <w:rFonts w:hint="eastAsia" w:ascii="仿宋" w:hAnsi="仿宋" w:eastAsia="仿宋" w:cs="仿宋"/>
                <w:b/>
                <w:bCs/>
                <w:color w:val="auto"/>
                <w:kern w:val="2"/>
                <w:sz w:val="21"/>
                <w:szCs w:val="21"/>
                <w:highlight w:val="none"/>
                <w:shd w:val="clear" w:color="auto" w:fill="auto"/>
                <w:lang w:val="en-US" w:eastAsia="zh-CN" w:bidi="ar-SA"/>
              </w:rPr>
              <w:t>1.响应人的响应文件必须标明所投货物的品牌与参数，保证原厂正品供货，成交后7个工作日内，成交人须提供以上6项类似产品合格检测报告扫描件或承诺函（格式自拟），检验日期在2023年1月1日以后的均可，如未按照要求提供，则视为成交人放弃成交资格。（报告必须是具有资质的第三方检测机构出具，且具有CMA标识）。</w:t>
            </w:r>
          </w:p>
          <w:p w14:paraId="5AEAD7B2">
            <w:pPr>
              <w:pageBreakBefore w:val="0"/>
              <w:widowControl/>
              <w:kinsoku/>
              <w:overflowPunct/>
              <w:topLinePunct w:val="0"/>
              <w:bidi w:val="0"/>
              <w:snapToGrid/>
              <w:spacing w:line="240" w:lineRule="auto"/>
              <w:jc w:val="left"/>
              <w:textAlignment w:val="auto"/>
              <w:rPr>
                <w:rFonts w:hint="eastAsia" w:ascii="仿宋" w:hAnsi="仿宋" w:eastAsia="仿宋" w:cs="仿宋"/>
                <w:b/>
                <w:bCs/>
                <w:color w:val="auto"/>
                <w:kern w:val="2"/>
                <w:sz w:val="21"/>
                <w:szCs w:val="21"/>
                <w:highlight w:val="none"/>
                <w:shd w:val="clear" w:color="auto" w:fill="auto"/>
                <w:lang w:val="en-US" w:eastAsia="zh-CN" w:bidi="ar-SA"/>
              </w:rPr>
            </w:pPr>
            <w:r>
              <w:rPr>
                <w:rFonts w:hint="eastAsia" w:ascii="仿宋" w:hAnsi="仿宋" w:eastAsia="仿宋" w:cs="仿宋"/>
                <w:b/>
                <w:bCs/>
                <w:color w:val="auto"/>
                <w:kern w:val="2"/>
                <w:sz w:val="21"/>
                <w:szCs w:val="21"/>
                <w:highlight w:val="none"/>
                <w:shd w:val="clear" w:color="auto" w:fill="auto"/>
                <w:lang w:val="en-US" w:eastAsia="zh-CN" w:bidi="ar-SA"/>
              </w:rPr>
              <w:t>2.本项目核心产品为“</w:t>
            </w:r>
            <w:r>
              <w:rPr>
                <w:rFonts w:hint="eastAsia" w:ascii="仿宋" w:hAnsi="仿宋" w:eastAsia="仿宋" w:cs="仿宋"/>
                <w:b/>
                <w:bCs/>
                <w:color w:val="auto"/>
                <w:kern w:val="2"/>
                <w:sz w:val="21"/>
                <w:szCs w:val="21"/>
                <w:highlight w:val="none"/>
                <w:u w:val="single"/>
                <w:shd w:val="clear" w:color="auto" w:fill="auto"/>
                <w:lang w:val="en-US" w:eastAsia="zh-CN" w:bidi="ar-SA"/>
              </w:rPr>
              <w:t xml:space="preserve"> 迷彩服套装（上衣）</w:t>
            </w:r>
            <w:r>
              <w:rPr>
                <w:rFonts w:hint="eastAsia" w:ascii="仿宋" w:hAnsi="仿宋" w:eastAsia="仿宋" w:cs="仿宋"/>
                <w:b/>
                <w:bCs/>
                <w:color w:val="auto"/>
                <w:kern w:val="2"/>
                <w:sz w:val="21"/>
                <w:szCs w:val="21"/>
                <w:highlight w:val="none"/>
                <w:shd w:val="clear" w:color="auto" w:fill="auto"/>
                <w:lang w:val="en-US" w:eastAsia="zh-CN" w:bidi="ar-SA"/>
              </w:rPr>
              <w:t xml:space="preserve"> ”。   </w:t>
            </w:r>
          </w:p>
          <w:p w14:paraId="69EA0D85">
            <w:pPr>
              <w:pageBreakBefore w:val="0"/>
              <w:widowControl/>
              <w:kinsoku/>
              <w:overflowPunct/>
              <w:topLinePunct w:val="0"/>
              <w:bidi w:val="0"/>
              <w:snapToGrid/>
              <w:spacing w:line="240" w:lineRule="auto"/>
              <w:jc w:val="left"/>
              <w:textAlignment w:val="auto"/>
              <w:rPr>
                <w:rFonts w:hint="eastAsia" w:ascii="仿宋" w:hAnsi="仿宋" w:eastAsia="仿宋" w:cs="仿宋"/>
                <w:b/>
                <w:bCs/>
                <w:color w:val="auto"/>
                <w:kern w:val="2"/>
                <w:sz w:val="21"/>
                <w:szCs w:val="21"/>
                <w:highlight w:val="none"/>
                <w:shd w:val="clear" w:color="auto" w:fill="auto"/>
                <w:lang w:val="en-US" w:eastAsia="zh-CN" w:bidi="ar-SA"/>
              </w:rPr>
            </w:pPr>
            <w:r>
              <w:rPr>
                <w:rFonts w:hint="eastAsia" w:ascii="仿宋" w:hAnsi="仿宋" w:eastAsia="仿宋" w:cs="仿宋"/>
                <w:b/>
                <w:bCs/>
                <w:color w:val="auto"/>
                <w:kern w:val="2"/>
                <w:sz w:val="21"/>
                <w:szCs w:val="21"/>
                <w:highlight w:val="none"/>
                <w:shd w:val="clear" w:color="auto" w:fill="auto"/>
                <w:lang w:val="en-US" w:eastAsia="zh-CN" w:bidi="ar-SA"/>
              </w:rPr>
              <w:t>3.本项目主要标的为表中序号为</w:t>
            </w:r>
            <w:r>
              <w:rPr>
                <w:rFonts w:hint="eastAsia" w:ascii="仿宋" w:hAnsi="仿宋" w:eastAsia="仿宋" w:cs="仿宋"/>
                <w:b/>
                <w:bCs/>
                <w:color w:val="auto"/>
                <w:kern w:val="2"/>
                <w:sz w:val="21"/>
                <w:szCs w:val="21"/>
                <w:highlight w:val="none"/>
                <w:u w:val="single"/>
                <w:shd w:val="clear" w:color="auto" w:fill="auto"/>
                <w:lang w:val="en-US" w:eastAsia="zh-CN" w:bidi="ar-SA"/>
              </w:rPr>
              <w:t xml:space="preserve"> 3 </w:t>
            </w:r>
            <w:r>
              <w:rPr>
                <w:rFonts w:hint="eastAsia" w:ascii="仿宋" w:hAnsi="仿宋" w:eastAsia="仿宋" w:cs="仿宋"/>
                <w:b/>
                <w:bCs/>
                <w:color w:val="auto"/>
                <w:kern w:val="2"/>
                <w:sz w:val="21"/>
                <w:szCs w:val="21"/>
                <w:highlight w:val="none"/>
                <w:shd w:val="clear" w:color="auto" w:fill="auto"/>
                <w:lang w:val="en-US" w:eastAsia="zh-CN" w:bidi="ar-SA"/>
              </w:rPr>
              <w:t>的设备，主要标的名称、品牌、规格、型号、数量、单价等信息将在成交结果公告中公示。</w:t>
            </w:r>
          </w:p>
          <w:p w14:paraId="093458F2">
            <w:pPr>
              <w:pageBreakBefore w:val="0"/>
              <w:widowControl/>
              <w:kinsoku/>
              <w:overflowPunct/>
              <w:topLinePunct w:val="0"/>
              <w:bidi w:val="0"/>
              <w:snapToGrid/>
              <w:spacing w:line="240" w:lineRule="auto"/>
              <w:jc w:val="left"/>
              <w:textAlignment w:val="auto"/>
              <w:rPr>
                <w:rFonts w:hint="eastAsia" w:ascii="仿宋" w:hAnsi="仿宋" w:eastAsia="仿宋" w:cs="仿宋"/>
                <w:b w:val="0"/>
                <w:color w:val="auto"/>
                <w:kern w:val="2"/>
                <w:sz w:val="21"/>
                <w:szCs w:val="21"/>
                <w:highlight w:val="none"/>
                <w:shd w:val="clear" w:color="auto" w:fill="auto"/>
                <w:lang w:val="en-US" w:eastAsia="zh-CN" w:bidi="ar-SA"/>
              </w:rPr>
            </w:pPr>
            <w:r>
              <w:rPr>
                <w:rFonts w:hint="eastAsia" w:ascii="仿宋" w:hAnsi="仿宋" w:eastAsia="仿宋" w:cs="仿宋"/>
                <w:b w:val="0"/>
                <w:color w:val="auto"/>
                <w:kern w:val="2"/>
                <w:sz w:val="21"/>
                <w:szCs w:val="21"/>
                <w:highlight w:val="none"/>
                <w:shd w:val="clear" w:color="auto" w:fill="auto"/>
                <w:lang w:val="en-US" w:eastAsia="zh-CN" w:bidi="ar-SA"/>
              </w:rPr>
              <w:t>4.所有技术参数及要求采购人验收时将逐条核对，如发现与实际情况不符、虚假响应等，采购人有权报监管部门并追究违约责任。</w:t>
            </w:r>
          </w:p>
          <w:p w14:paraId="4708A0D6">
            <w:pPr>
              <w:pageBreakBefore w:val="0"/>
              <w:widowControl/>
              <w:kinsoku/>
              <w:overflowPunct/>
              <w:topLinePunct w:val="0"/>
              <w:bidi w:val="0"/>
              <w:snapToGrid/>
              <w:spacing w:line="240" w:lineRule="auto"/>
              <w:jc w:val="left"/>
              <w:textAlignment w:val="auto"/>
              <w:rPr>
                <w:rFonts w:hint="eastAsia" w:ascii="仿宋" w:hAnsi="仿宋" w:eastAsia="仿宋" w:cs="仿宋"/>
                <w:b w:val="0"/>
                <w:color w:val="auto"/>
                <w:kern w:val="2"/>
                <w:sz w:val="21"/>
                <w:szCs w:val="21"/>
                <w:highlight w:val="none"/>
                <w:shd w:val="clear" w:color="auto" w:fill="auto"/>
                <w:lang w:val="en-US" w:eastAsia="zh-CN" w:bidi="ar-SA"/>
              </w:rPr>
            </w:pPr>
            <w:r>
              <w:rPr>
                <w:rFonts w:hint="eastAsia" w:ascii="仿宋" w:hAnsi="仿宋" w:eastAsia="仿宋" w:cs="仿宋"/>
                <w:b w:val="0"/>
                <w:color w:val="auto"/>
                <w:kern w:val="2"/>
                <w:sz w:val="21"/>
                <w:szCs w:val="21"/>
                <w:highlight w:val="none"/>
                <w:shd w:val="clear" w:color="auto" w:fill="auto"/>
                <w:lang w:val="en-US" w:eastAsia="zh-CN" w:bidi="ar-SA"/>
              </w:rPr>
              <w:t>5.响应人应按照谈判文件要求提供证明材料。若响应人提供了竞争性谈判文件未要求的证明材料，谈判小组将不予评审。</w:t>
            </w:r>
          </w:p>
          <w:p w14:paraId="65C8DB4F">
            <w:pPr>
              <w:pageBreakBefore w:val="0"/>
              <w:widowControl/>
              <w:kinsoku/>
              <w:overflowPunct/>
              <w:topLinePunct w:val="0"/>
              <w:bidi w:val="0"/>
              <w:snapToGrid/>
              <w:spacing w:line="240" w:lineRule="auto"/>
              <w:jc w:val="left"/>
              <w:textAlignment w:val="auto"/>
              <w:rPr>
                <w:rFonts w:hint="eastAsia" w:ascii="仿宋" w:hAnsi="仿宋" w:eastAsia="仿宋" w:cs="仿宋"/>
                <w:b w:val="0"/>
                <w:color w:val="auto"/>
                <w:kern w:val="2"/>
                <w:sz w:val="21"/>
                <w:szCs w:val="21"/>
                <w:highlight w:val="none"/>
                <w:shd w:val="clear" w:color="auto" w:fill="auto"/>
                <w:lang w:val="en-US" w:eastAsia="zh-CN" w:bidi="ar-SA"/>
              </w:rPr>
            </w:pPr>
            <w:r>
              <w:rPr>
                <w:rFonts w:hint="eastAsia" w:ascii="仿宋" w:hAnsi="仿宋" w:eastAsia="仿宋" w:cs="仿宋"/>
                <w:b w:val="0"/>
                <w:color w:val="auto"/>
                <w:kern w:val="2"/>
                <w:sz w:val="21"/>
                <w:szCs w:val="21"/>
                <w:highlight w:val="none"/>
                <w:shd w:val="clear" w:color="auto" w:fill="auto"/>
                <w:lang w:val="en-US" w:eastAsia="zh-CN" w:bidi="ar-SA"/>
              </w:rPr>
              <w:t>6.响应人提供的证明材料须清晰地反映评审内容，如因材料模糊不清，导致谈判小组无法辨认的，谈判小组可以不予认可，一切后果由响应人自行承担。</w:t>
            </w:r>
          </w:p>
        </w:tc>
      </w:tr>
    </w:tbl>
    <w:p w14:paraId="28CE305E">
      <w:pPr>
        <w:spacing w:line="360" w:lineRule="auto"/>
        <w:ind w:firstLine="482" w:firstLineChars="200"/>
        <w:outlineLvl w:val="1"/>
        <w:rPr>
          <w:rFonts w:hint="eastAsia" w:ascii="仿宋" w:hAnsi="仿宋" w:eastAsia="仿宋" w:cs="仿宋"/>
          <w:b/>
          <w:bCs/>
          <w:color w:val="auto"/>
          <w:sz w:val="24"/>
          <w:szCs w:val="18"/>
          <w:highlight w:val="none"/>
        </w:rPr>
      </w:pPr>
      <w:r>
        <w:rPr>
          <w:rFonts w:hint="eastAsia" w:ascii="仿宋" w:hAnsi="仿宋" w:eastAsia="仿宋" w:cs="仿宋"/>
          <w:b/>
          <w:bCs/>
          <w:color w:val="auto"/>
          <w:sz w:val="24"/>
          <w:szCs w:val="18"/>
          <w:highlight w:val="none"/>
        </w:rPr>
        <w:t>三、报价要求</w:t>
      </w:r>
      <w:bookmarkEnd w:id="5"/>
      <w:bookmarkEnd w:id="6"/>
    </w:p>
    <w:p w14:paraId="7ED0AC0F">
      <w:pPr>
        <w:spacing w:line="360" w:lineRule="auto"/>
        <w:ind w:firstLine="437"/>
        <w:rPr>
          <w:rFonts w:hint="eastAsia" w:ascii="仿宋" w:hAnsi="仿宋" w:eastAsia="仿宋" w:cs="仿宋"/>
          <w:bCs/>
          <w:color w:val="auto"/>
          <w:sz w:val="24"/>
          <w:szCs w:val="18"/>
          <w:highlight w:val="none"/>
        </w:rPr>
      </w:pPr>
      <w:r>
        <w:rPr>
          <w:rFonts w:hint="eastAsia" w:ascii="仿宋" w:hAnsi="仿宋" w:eastAsia="仿宋" w:cs="仿宋"/>
          <w:bCs/>
          <w:color w:val="auto"/>
          <w:sz w:val="24"/>
          <w:szCs w:val="18"/>
          <w:highlight w:val="none"/>
        </w:rPr>
        <w:t>本次采购需求中军训服装暂定数量为4000套（</w:t>
      </w:r>
      <w:r>
        <w:rPr>
          <w:rFonts w:hint="eastAsia" w:ascii="仿宋" w:hAnsi="仿宋" w:eastAsia="仿宋" w:cs="仿宋"/>
          <w:bCs/>
          <w:color w:val="auto"/>
          <w:sz w:val="24"/>
          <w:szCs w:val="18"/>
          <w:highlight w:val="none"/>
          <w:lang w:val="en-US" w:eastAsia="zh-CN"/>
        </w:rPr>
        <w:t>具体采购数量以学生实际购买数为准</w:t>
      </w:r>
      <w:r>
        <w:rPr>
          <w:rFonts w:hint="eastAsia" w:ascii="仿宋" w:hAnsi="仿宋" w:eastAsia="仿宋" w:cs="仿宋"/>
          <w:bCs/>
          <w:color w:val="auto"/>
          <w:sz w:val="24"/>
          <w:szCs w:val="18"/>
          <w:highlight w:val="none"/>
        </w:rPr>
        <w:t>），响应人须按综合单价（元/人）（填写分项报价表）进行报价。综合单价指一套军训服套装的总金额，其中1套军训服装包含：丛林迷彩服（陆军）长袖上衣外套1件、长裤1条、丛林迷彩服（陆军）短袖圆领T恤衫1件、迷彩帽1顶、迷彩作训鞋1双、编织作训外腰带1条。单件单价为每一单件的单价。最终结算金额按综合单价及具体采购数量据实结算，综合单价（100元/人）和单件单价均不得超过本项目预算（最高响应限价），否则响应无效。服装需按个人分包，并负责服装发放，采购人不再支付任何其他的额外费用，请响应人自行考虑报价风险。</w:t>
      </w:r>
    </w:p>
    <w:p w14:paraId="32187F09">
      <w:pPr>
        <w:spacing w:line="360" w:lineRule="auto"/>
        <w:ind w:firstLine="437"/>
        <w:outlineLvl w:val="1"/>
        <w:rPr>
          <w:rFonts w:hint="eastAsia" w:ascii="仿宋" w:hAnsi="仿宋" w:eastAsia="仿宋" w:cs="仿宋"/>
          <w:b/>
          <w:bCs/>
          <w:color w:val="auto"/>
          <w:sz w:val="24"/>
          <w:szCs w:val="18"/>
          <w:highlight w:val="none"/>
        </w:rPr>
      </w:pPr>
      <w:bookmarkStart w:id="7" w:name="_Toc3878"/>
      <w:bookmarkStart w:id="8" w:name="_Toc18721"/>
      <w:r>
        <w:rPr>
          <w:rFonts w:hint="eastAsia" w:ascii="仿宋" w:hAnsi="仿宋" w:eastAsia="仿宋" w:cs="仿宋"/>
          <w:b/>
          <w:bCs/>
          <w:color w:val="auto"/>
          <w:sz w:val="24"/>
          <w:szCs w:val="18"/>
          <w:highlight w:val="none"/>
        </w:rPr>
        <w:t>四、其他要求</w:t>
      </w:r>
      <w:bookmarkEnd w:id="7"/>
      <w:bookmarkEnd w:id="8"/>
    </w:p>
    <w:p w14:paraId="1C13EB98">
      <w:pPr>
        <w:spacing w:line="360" w:lineRule="auto"/>
        <w:ind w:firstLine="437"/>
        <w:rPr>
          <w:rFonts w:hint="eastAsia" w:ascii="仿宋" w:hAnsi="仿宋" w:eastAsia="仿宋" w:cs="仿宋"/>
          <w:bCs/>
          <w:color w:val="auto"/>
          <w:sz w:val="24"/>
          <w:szCs w:val="18"/>
          <w:highlight w:val="none"/>
          <w:lang w:eastAsia="zh-CN"/>
        </w:rPr>
      </w:pPr>
      <w:r>
        <w:rPr>
          <w:rFonts w:hint="eastAsia" w:ascii="仿宋" w:hAnsi="仿宋" w:eastAsia="仿宋" w:cs="仿宋"/>
          <w:bCs/>
          <w:color w:val="auto"/>
          <w:sz w:val="24"/>
          <w:szCs w:val="18"/>
          <w:highlight w:val="none"/>
          <w:lang w:eastAsia="zh-CN"/>
        </w:rPr>
        <w:t>（</w:t>
      </w:r>
      <w:r>
        <w:rPr>
          <w:rFonts w:hint="eastAsia" w:ascii="仿宋" w:hAnsi="仿宋" w:eastAsia="仿宋" w:cs="仿宋"/>
          <w:bCs/>
          <w:color w:val="auto"/>
          <w:sz w:val="24"/>
          <w:szCs w:val="18"/>
          <w:highlight w:val="none"/>
          <w:lang w:val="en-US" w:eastAsia="zh-CN"/>
        </w:rPr>
        <w:t>一</w:t>
      </w:r>
      <w:r>
        <w:rPr>
          <w:rFonts w:hint="eastAsia" w:ascii="仿宋" w:hAnsi="仿宋" w:eastAsia="仿宋" w:cs="仿宋"/>
          <w:bCs/>
          <w:color w:val="auto"/>
          <w:sz w:val="24"/>
          <w:szCs w:val="18"/>
          <w:highlight w:val="none"/>
          <w:lang w:eastAsia="zh-CN"/>
        </w:rPr>
        <w:t>）货物质量及售后服务要求</w:t>
      </w:r>
    </w:p>
    <w:p w14:paraId="3209B538">
      <w:pPr>
        <w:spacing w:line="360" w:lineRule="auto"/>
        <w:ind w:firstLine="480" w:firstLineChars="200"/>
        <w:rPr>
          <w:rFonts w:hint="eastAsia" w:ascii="仿宋" w:hAnsi="仿宋" w:eastAsia="仿宋" w:cs="仿宋"/>
          <w:bCs/>
          <w:color w:val="auto"/>
          <w:sz w:val="24"/>
          <w:szCs w:val="18"/>
          <w:highlight w:val="none"/>
          <w:lang w:val="en-US" w:eastAsia="zh-CN"/>
        </w:rPr>
      </w:pPr>
      <w:r>
        <w:rPr>
          <w:rFonts w:hint="eastAsia" w:ascii="仿宋" w:hAnsi="仿宋" w:eastAsia="仿宋" w:cs="仿宋"/>
          <w:bCs/>
          <w:color w:val="auto"/>
          <w:sz w:val="24"/>
          <w:szCs w:val="18"/>
          <w:highlight w:val="none"/>
          <w:lang w:val="en-US" w:eastAsia="zh-CN"/>
        </w:rPr>
        <w:t>1.货物质量：成交人提供的货物必须是全新、原装、合格正品，完全符合国家规定的质量标准和厂方的标准。货物完好，配件齐全,且满足“不透光、缩水少、结实牢靠、无明显色差、安全无异味”的使用要求。服装使用一个月内出现质量问题，响应人须及时无偿更换。服装样式、颜色参照07式丛林迷彩（陆军）样式确定，图片见采购详细清单。</w:t>
      </w:r>
    </w:p>
    <w:p w14:paraId="1DF6E936">
      <w:pPr>
        <w:spacing w:line="360" w:lineRule="auto"/>
        <w:ind w:firstLine="480" w:firstLineChars="200"/>
        <w:rPr>
          <w:rFonts w:hint="eastAsia" w:ascii="仿宋" w:hAnsi="仿宋" w:eastAsia="仿宋" w:cs="仿宋"/>
          <w:bCs/>
          <w:color w:val="auto"/>
          <w:sz w:val="24"/>
          <w:szCs w:val="18"/>
          <w:highlight w:val="none"/>
          <w:lang w:val="en-US" w:eastAsia="zh-CN"/>
        </w:rPr>
      </w:pPr>
      <w:r>
        <w:rPr>
          <w:rFonts w:hint="eastAsia" w:ascii="仿宋" w:hAnsi="仿宋" w:eastAsia="仿宋" w:cs="仿宋"/>
          <w:bCs/>
          <w:color w:val="auto"/>
          <w:sz w:val="24"/>
          <w:szCs w:val="18"/>
          <w:highlight w:val="none"/>
          <w:lang w:val="en-US" w:eastAsia="zh-CN"/>
        </w:rPr>
        <w:t>2.保修及售后服务：依据商品的保修条款及售后服务条款，提供原厂质保，质保期按照国家规定，且不低于所供品牌向用户承诺的质保期限，谈判文件另有约定的从其约定。质保期从货物验收合格后算起。</w:t>
      </w:r>
    </w:p>
    <w:p w14:paraId="3A531B9A">
      <w:pPr>
        <w:spacing w:line="360" w:lineRule="auto"/>
        <w:ind w:firstLine="480" w:firstLineChars="200"/>
        <w:rPr>
          <w:rFonts w:hint="eastAsia" w:ascii="仿宋" w:hAnsi="仿宋" w:eastAsia="仿宋" w:cs="仿宋"/>
          <w:bCs/>
          <w:color w:val="auto"/>
          <w:sz w:val="24"/>
          <w:szCs w:val="18"/>
          <w:highlight w:val="none"/>
          <w:lang w:val="en-US" w:eastAsia="zh-CN"/>
        </w:rPr>
      </w:pPr>
      <w:r>
        <w:rPr>
          <w:rFonts w:hint="eastAsia" w:ascii="仿宋" w:hAnsi="仿宋" w:eastAsia="仿宋" w:cs="仿宋"/>
          <w:bCs/>
          <w:color w:val="auto"/>
          <w:sz w:val="24"/>
          <w:szCs w:val="18"/>
          <w:highlight w:val="none"/>
          <w:lang w:val="en-US" w:eastAsia="zh-CN"/>
        </w:rPr>
        <w:t>（二）交货方式、检验及验收</w:t>
      </w:r>
    </w:p>
    <w:p w14:paraId="57C6FD02">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1.</w:t>
      </w:r>
      <w:r>
        <w:rPr>
          <w:rFonts w:hint="eastAsia" w:ascii="仿宋" w:hAnsi="仿宋" w:eastAsia="仿宋" w:cs="仿宋"/>
          <w:color w:val="auto"/>
          <w:sz w:val="24"/>
          <w:szCs w:val="20"/>
          <w:highlight w:val="none"/>
        </w:rPr>
        <w:t>交货方式：</w:t>
      </w:r>
    </w:p>
    <w:p w14:paraId="6BAA6632">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1</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交货地点:成交人须在合同签订后的</w:t>
      </w:r>
      <w:r>
        <w:rPr>
          <w:rFonts w:hint="eastAsia" w:ascii="仿宋" w:hAnsi="仿宋" w:eastAsia="仿宋" w:cs="仿宋"/>
          <w:color w:val="auto"/>
          <w:sz w:val="24"/>
          <w:szCs w:val="20"/>
          <w:highlight w:val="none"/>
          <w:lang w:val="en-US" w:eastAsia="zh-CN"/>
        </w:rPr>
        <w:t>40日</w:t>
      </w:r>
      <w:r>
        <w:rPr>
          <w:rFonts w:hint="eastAsia" w:ascii="仿宋" w:hAnsi="仿宋" w:eastAsia="仿宋" w:cs="仿宋"/>
          <w:color w:val="auto"/>
          <w:sz w:val="24"/>
          <w:szCs w:val="20"/>
          <w:highlight w:val="none"/>
        </w:rPr>
        <w:t>内将服装交到</w:t>
      </w:r>
      <w:r>
        <w:rPr>
          <w:rFonts w:hint="eastAsia" w:ascii="仿宋" w:hAnsi="仿宋" w:eastAsia="仿宋" w:cs="仿宋"/>
          <w:color w:val="auto"/>
          <w:sz w:val="24"/>
          <w:szCs w:val="20"/>
          <w:highlight w:val="none"/>
          <w:lang w:val="en-US" w:eastAsia="zh-CN"/>
        </w:rPr>
        <w:t>采购人</w:t>
      </w:r>
      <w:r>
        <w:rPr>
          <w:rFonts w:hint="eastAsia" w:ascii="仿宋" w:hAnsi="仿宋" w:eastAsia="仿宋" w:cs="仿宋"/>
          <w:color w:val="auto"/>
          <w:sz w:val="24"/>
          <w:szCs w:val="20"/>
          <w:highlight w:val="none"/>
        </w:rPr>
        <w:t>指定地点（校内）。</w:t>
      </w:r>
    </w:p>
    <w:p w14:paraId="2503BCF7">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2</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应在交货前3日内，以电话或传真向</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rPr>
        <w:t>提供交货计划。</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rPr>
        <w:t>应及时作好准备，办妥接货手续。</w:t>
      </w:r>
    </w:p>
    <w:p w14:paraId="607A57CD">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本合同所有物品运抵</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lang w:val="en-US" w:eastAsia="zh-CN"/>
        </w:rPr>
        <w:t>指定</w:t>
      </w:r>
      <w:r>
        <w:rPr>
          <w:rFonts w:hint="eastAsia" w:ascii="仿宋" w:hAnsi="仿宋" w:eastAsia="仿宋" w:cs="仿宋"/>
          <w:color w:val="auto"/>
          <w:sz w:val="24"/>
          <w:szCs w:val="20"/>
          <w:highlight w:val="none"/>
        </w:rPr>
        <w:t>现场后，</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应在确保设备外包装完好无损的情况下向</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rPr>
        <w:t>交货，出现货物不全，外包装破损等情况，</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rPr>
        <w:t>不予接收，由</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负责更换，其相关费用由</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负担。</w:t>
      </w:r>
    </w:p>
    <w:p w14:paraId="499C6962">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4</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负责安全地在约定期内送货到约定的地点，运输方式由</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自行决定，相关费用由</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承担。运输途中产生的交通事故、人身伤害、财产损失等责任均由</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自行承担，与</w:t>
      </w:r>
      <w:r>
        <w:rPr>
          <w:rFonts w:hint="eastAsia" w:ascii="仿宋" w:hAnsi="仿宋" w:eastAsia="仿宋" w:cs="仿宋"/>
          <w:color w:val="auto"/>
          <w:sz w:val="24"/>
          <w:szCs w:val="20"/>
          <w:highlight w:val="none"/>
          <w:lang w:eastAsia="zh-CN"/>
        </w:rPr>
        <w:t>采购人</w:t>
      </w:r>
      <w:r>
        <w:rPr>
          <w:rFonts w:hint="eastAsia" w:ascii="仿宋" w:hAnsi="仿宋" w:eastAsia="仿宋" w:cs="仿宋"/>
          <w:color w:val="auto"/>
          <w:sz w:val="24"/>
          <w:szCs w:val="20"/>
          <w:highlight w:val="none"/>
        </w:rPr>
        <w:t>无关。</w:t>
      </w:r>
    </w:p>
    <w:p w14:paraId="413A8D83">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val="en-US" w:eastAsia="zh-CN"/>
        </w:rPr>
        <w:t>2.</w:t>
      </w:r>
      <w:r>
        <w:rPr>
          <w:rFonts w:hint="eastAsia" w:ascii="仿宋" w:hAnsi="仿宋" w:eastAsia="仿宋" w:cs="仿宋"/>
          <w:color w:val="auto"/>
          <w:sz w:val="24"/>
          <w:szCs w:val="20"/>
          <w:highlight w:val="none"/>
        </w:rPr>
        <w:t>检验：服装检测严格落实“双送检”制度。</w:t>
      </w:r>
    </w:p>
    <w:p w14:paraId="478931EF">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1</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货物交付时，</w:t>
      </w:r>
      <w:r>
        <w:rPr>
          <w:rFonts w:hint="eastAsia" w:ascii="仿宋" w:hAnsi="仿宋" w:eastAsia="仿宋" w:cs="仿宋"/>
          <w:color w:val="auto"/>
          <w:sz w:val="24"/>
          <w:szCs w:val="20"/>
          <w:highlight w:val="none"/>
          <w:lang w:eastAsia="zh-CN"/>
        </w:rPr>
        <w:t>成交人</w:t>
      </w:r>
      <w:r>
        <w:rPr>
          <w:rFonts w:hint="eastAsia" w:ascii="仿宋" w:hAnsi="仿宋" w:eastAsia="仿宋" w:cs="仿宋"/>
          <w:color w:val="auto"/>
          <w:sz w:val="24"/>
          <w:szCs w:val="20"/>
          <w:highlight w:val="none"/>
        </w:rPr>
        <w:t>应对货物的质量、数量等方面进行详细、全面的检验，成交人需在供货前提供所供军训服装</w:t>
      </w:r>
      <w:r>
        <w:rPr>
          <w:rFonts w:hint="eastAsia" w:ascii="仿宋" w:hAnsi="仿宋" w:eastAsia="仿宋" w:cs="仿宋"/>
          <w:color w:val="auto"/>
          <w:sz w:val="24"/>
          <w:szCs w:val="20"/>
          <w:highlight w:val="none"/>
          <w:lang w:val="en-US" w:eastAsia="zh-CN"/>
        </w:rPr>
        <w:t>带有</w:t>
      </w:r>
      <w:r>
        <w:rPr>
          <w:rFonts w:hint="eastAsia" w:ascii="仿宋" w:hAnsi="仿宋" w:eastAsia="仿宋" w:cs="仿宋"/>
          <w:color w:val="auto"/>
          <w:sz w:val="24"/>
          <w:szCs w:val="20"/>
          <w:highlight w:val="none"/>
        </w:rPr>
        <w:t>CMA</w:t>
      </w:r>
      <w:r>
        <w:rPr>
          <w:rFonts w:hint="eastAsia" w:ascii="仿宋" w:hAnsi="仿宋" w:eastAsia="仿宋" w:cs="仿宋"/>
          <w:color w:val="auto"/>
          <w:sz w:val="24"/>
          <w:szCs w:val="20"/>
          <w:highlight w:val="none"/>
          <w:lang w:val="en-US" w:eastAsia="zh-CN"/>
        </w:rPr>
        <w:t>标识的</w:t>
      </w:r>
      <w:r>
        <w:rPr>
          <w:rFonts w:hint="eastAsia" w:ascii="仿宋" w:hAnsi="仿宋" w:eastAsia="仿宋" w:cs="仿宋"/>
          <w:color w:val="auto"/>
          <w:sz w:val="24"/>
          <w:szCs w:val="20"/>
          <w:highlight w:val="none"/>
        </w:rPr>
        <w:t>检测报告，检验项目应包含纤维含量及采购清单中规定的各项技术参数项目，未提供检测结论为合格的检测报告采购人拒收服装。</w:t>
      </w:r>
    </w:p>
    <w:p w14:paraId="0BB7F125">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2</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服装在运抵采购人处后，学校按照《纤维制品质量监督管理办法》(原国家质检总局第178号令)规定，建立并执行服装验收抽检制度，即随机抽取军训服装1套，当场封存送有权检验机构检测。送检合格的服装按照采购人要求发放；若检测不合格，则由成交人将所有服装运回，同时采购人有权解除合同，给采购人带来的所有损失由成交人承担。</w:t>
      </w:r>
      <w:bookmarkStart w:id="9" w:name="_GoBack"/>
      <w:bookmarkEnd w:id="9"/>
    </w:p>
    <w:p w14:paraId="5DA4E649">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lang w:val="en-US" w:eastAsia="zh-CN"/>
        </w:rPr>
        <w:t>3</w:t>
      </w:r>
      <w:r>
        <w:rPr>
          <w:rFonts w:hint="eastAsia" w:ascii="仿宋" w:hAnsi="仿宋" w:eastAsia="仿宋" w:cs="仿宋"/>
          <w:color w:val="auto"/>
          <w:sz w:val="24"/>
          <w:szCs w:val="20"/>
          <w:highlight w:val="none"/>
          <w:lang w:eastAsia="zh-CN"/>
        </w:rPr>
        <w:t>）</w:t>
      </w:r>
      <w:r>
        <w:rPr>
          <w:rFonts w:hint="eastAsia" w:ascii="仿宋" w:hAnsi="仿宋" w:eastAsia="仿宋" w:cs="仿宋"/>
          <w:color w:val="auto"/>
          <w:sz w:val="24"/>
          <w:szCs w:val="20"/>
          <w:highlight w:val="none"/>
        </w:rPr>
        <w:t>验收：合同期满或者履行完毕后，成交人和采购人双方共同实施验收工作，并出具验收报告，结果和验收报告经双方确认后生效。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B3541E"/>
    <w:rsid w:val="05B3541E"/>
    <w:rsid w:val="633E4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2835</Words>
  <Characters>3035</Characters>
  <Lines>0</Lines>
  <Paragraphs>0</Paragraphs>
  <TotalTime>3</TotalTime>
  <ScaleCrop>false</ScaleCrop>
  <LinksUpToDate>false</LinksUpToDate>
  <CharactersWithSpaces>3061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2026-06-01T11:57:00Z</dcterms:created>
  <dc:creator>半支烟</dc:creator>
  <cp:lastModifiedBy>半支烟</cp:lastModifiedBy>
  <dcterms:modified xsi:type="dcterms:W3CDTF">2026-06-02T02:35:42Z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7D6C3C241B0347BA83E06C36B544A196_11</vt:lpwstr>
  </property>
  <property fmtid="{D5CDD505-2E9C-101B-9397-08002B2CF9AE}" pid="4" name="KSOTemplateDocerSaveRecord">
    <vt:lpwstr>eyJoZGlkIjoiODcwZDgxYmNjODY1NWU5NDg4ZDFmZjJhNjY1ODc0NTkiLCJ1c2VySWQiOiI0NTYyMzQ4NDkifQ==</vt:lpwstr>
  </property>
</Properties>
</file>