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highlight w:val="none"/>
        </w:rPr>
      </w:pPr>
      <w:r>
        <w:rPr>
          <w:rFonts w:ascii="宋体" w:hAnsi="宋体"/>
          <w:szCs w:val="21"/>
          <w:highlight w:val="none"/>
        </w:rPr>
        <w:t xml:space="preserve"> </w:t>
      </w:r>
      <w:r>
        <w:rPr>
          <w:rFonts w:ascii="宋体" w:hAnsi="宋体"/>
          <w:sz w:val="44"/>
          <w:szCs w:val="44"/>
          <w:highlight w:val="none"/>
        </w:rPr>
        <w:t xml:space="preserve">      </w:t>
      </w:r>
    </w:p>
    <w:p>
      <w:pPr>
        <w:spacing w:line="480" w:lineRule="exact"/>
        <w:jc w:val="center"/>
        <w:rPr>
          <w:rFonts w:hint="eastAsia" w:ascii="宋体" w:hAnsi="宋体" w:eastAsia="宋体"/>
          <w:b/>
          <w:sz w:val="44"/>
          <w:szCs w:val="44"/>
          <w:highlight w:val="none"/>
          <w:lang w:eastAsia="zh-CN"/>
        </w:rPr>
      </w:pPr>
      <w:r>
        <w:rPr>
          <w:rFonts w:hint="eastAsia" w:ascii="宋体" w:hAnsi="宋体"/>
          <w:b/>
          <w:spacing w:val="-6"/>
          <w:sz w:val="44"/>
          <w:szCs w:val="44"/>
          <w:highlight w:val="none"/>
          <w:lang w:eastAsia="zh-CN"/>
        </w:rPr>
        <w:t>安庆职业技术学院篮球场和排球场改造项目</w:t>
      </w:r>
    </w:p>
    <w:p>
      <w:pPr>
        <w:spacing w:line="480" w:lineRule="exact"/>
        <w:rPr>
          <w:rFonts w:ascii="仿宋_GB2312" w:hAnsi="宋体" w:eastAsia="仿宋_GB2312"/>
          <w:b/>
          <w:sz w:val="44"/>
          <w:szCs w:val="44"/>
          <w:highlight w:val="none"/>
        </w:rPr>
      </w:pPr>
    </w:p>
    <w:p>
      <w:pPr>
        <w:spacing w:line="480" w:lineRule="exact"/>
        <w:rPr>
          <w:rFonts w:ascii="宋体"/>
          <w:szCs w:val="21"/>
          <w:highlight w:val="none"/>
        </w:rPr>
      </w:pPr>
    </w:p>
    <w:p>
      <w:pPr>
        <w:pStyle w:val="24"/>
        <w:rPr>
          <w:highlight w:val="none"/>
        </w:rPr>
      </w:pPr>
    </w:p>
    <w:p>
      <w:pPr>
        <w:pStyle w:val="24"/>
        <w:rPr>
          <w:highlight w:val="none"/>
        </w:rPr>
      </w:pPr>
    </w:p>
    <w:p>
      <w:pPr>
        <w:pStyle w:val="24"/>
        <w:rPr>
          <w:highlight w:val="none"/>
        </w:rPr>
      </w:pPr>
    </w:p>
    <w:p>
      <w:pPr>
        <w:spacing w:line="480" w:lineRule="exact"/>
        <w:jc w:val="center"/>
        <w:rPr>
          <w:rFonts w:ascii="宋体" w:cs="宋体"/>
          <w:b/>
          <w:bCs/>
          <w:sz w:val="48"/>
          <w:szCs w:val="48"/>
          <w:highlight w:val="none"/>
        </w:rPr>
      </w:pPr>
      <w:r>
        <w:rPr>
          <w:rFonts w:hint="eastAsia" w:ascii="宋体" w:hAnsi="宋体" w:cs="宋体"/>
          <w:b/>
          <w:bCs/>
          <w:sz w:val="48"/>
          <w:szCs w:val="48"/>
          <w:highlight w:val="none"/>
        </w:rPr>
        <w:t>磋</w:t>
      </w:r>
      <w:r>
        <w:rPr>
          <w:rFonts w:ascii="宋体" w:hAnsi="宋体" w:cs="宋体"/>
          <w:b/>
          <w:bCs/>
          <w:sz w:val="48"/>
          <w:szCs w:val="48"/>
          <w:highlight w:val="none"/>
        </w:rPr>
        <w:t xml:space="preserve">  </w:t>
      </w:r>
      <w:r>
        <w:rPr>
          <w:rFonts w:hint="eastAsia" w:ascii="宋体" w:hAnsi="宋体" w:cs="宋体"/>
          <w:b/>
          <w:bCs/>
          <w:sz w:val="48"/>
          <w:szCs w:val="48"/>
          <w:highlight w:val="none"/>
        </w:rPr>
        <w:t>商</w:t>
      </w:r>
      <w:r>
        <w:rPr>
          <w:rFonts w:ascii="宋体" w:hAnsi="宋体" w:cs="宋体"/>
          <w:b/>
          <w:bCs/>
          <w:sz w:val="48"/>
          <w:szCs w:val="48"/>
          <w:highlight w:val="none"/>
        </w:rPr>
        <w:t xml:space="preserve">  </w:t>
      </w:r>
      <w:r>
        <w:rPr>
          <w:rFonts w:hint="eastAsia" w:ascii="宋体" w:hAnsi="宋体" w:cs="宋体"/>
          <w:b/>
          <w:bCs/>
          <w:sz w:val="48"/>
          <w:szCs w:val="48"/>
          <w:highlight w:val="none"/>
        </w:rPr>
        <w:t>文</w:t>
      </w:r>
      <w:r>
        <w:rPr>
          <w:rFonts w:ascii="宋体" w:hAnsi="宋体" w:cs="宋体"/>
          <w:b/>
          <w:bCs/>
          <w:sz w:val="48"/>
          <w:szCs w:val="48"/>
          <w:highlight w:val="none"/>
        </w:rPr>
        <w:t xml:space="preserve">  </w:t>
      </w:r>
      <w:r>
        <w:rPr>
          <w:rFonts w:hint="eastAsia" w:ascii="宋体" w:hAnsi="宋体" w:cs="宋体"/>
          <w:b/>
          <w:bCs/>
          <w:sz w:val="48"/>
          <w:szCs w:val="48"/>
          <w:highlight w:val="none"/>
        </w:rPr>
        <w:t>件</w:t>
      </w:r>
    </w:p>
    <w:p>
      <w:pPr>
        <w:spacing w:line="480" w:lineRule="exact"/>
        <w:jc w:val="center"/>
        <w:rPr>
          <w:rFonts w:ascii="宋体" w:cs="宋体"/>
          <w:b/>
          <w:bCs/>
          <w:sz w:val="48"/>
          <w:szCs w:val="48"/>
          <w:highlight w:val="none"/>
        </w:rPr>
      </w:pPr>
    </w:p>
    <w:p>
      <w:pPr>
        <w:spacing w:line="480" w:lineRule="exact"/>
        <w:ind w:firstLine="2530" w:firstLineChars="900"/>
        <w:jc w:val="left"/>
        <w:rPr>
          <w:rFonts w:hint="eastAsia" w:ascii="宋体" w:hAnsi="宋体" w:cs="宋体"/>
          <w:b/>
          <w:bCs/>
          <w:sz w:val="28"/>
          <w:szCs w:val="28"/>
          <w:highlight w:val="none"/>
        </w:rPr>
      </w:pPr>
    </w:p>
    <w:p>
      <w:pPr>
        <w:spacing w:line="480" w:lineRule="exact"/>
        <w:ind w:firstLine="1687" w:firstLineChars="600"/>
        <w:jc w:val="both"/>
        <w:rPr>
          <w:rFonts w:hint="default" w:ascii="宋体" w:hAnsi="宋体" w:cs="宋体"/>
          <w:b/>
          <w:bCs/>
          <w:sz w:val="28"/>
          <w:szCs w:val="28"/>
          <w:highlight w:val="none"/>
          <w:lang w:val="en-US" w:eastAsia="zh-CN"/>
        </w:rPr>
      </w:pPr>
      <w:r>
        <w:rPr>
          <w:rFonts w:hint="eastAsia" w:ascii="宋体" w:hAnsi="宋体" w:cs="宋体"/>
          <w:b/>
          <w:bCs/>
          <w:sz w:val="28"/>
          <w:szCs w:val="28"/>
          <w:highlight w:val="none"/>
        </w:rPr>
        <w:t>项目编号：</w:t>
      </w:r>
      <w:r>
        <w:rPr>
          <w:rFonts w:hint="eastAsia" w:ascii="宋体" w:hAnsi="宋体" w:cs="宋体"/>
          <w:b/>
          <w:bCs/>
          <w:sz w:val="28"/>
          <w:szCs w:val="28"/>
          <w:highlight w:val="none"/>
          <w:lang w:val="en-US" w:eastAsia="zh-CN"/>
        </w:rPr>
        <w:t xml:space="preserve"> CG-AQ-2023-0294  FS34080120230156号</w:t>
      </w:r>
    </w:p>
    <w:p>
      <w:pPr>
        <w:spacing w:line="480" w:lineRule="exact"/>
        <w:rPr>
          <w:rFonts w:ascii="宋体" w:hAnsi="宋体" w:cs="仿宋_GB2312"/>
          <w:szCs w:val="21"/>
          <w:highlight w:val="none"/>
        </w:rPr>
      </w:pPr>
    </w:p>
    <w:p>
      <w:pPr>
        <w:spacing w:line="480" w:lineRule="exact"/>
        <w:rPr>
          <w:rFonts w:ascii="宋体" w:hAnsi="宋体" w:cs="仿宋_GB2312"/>
          <w:szCs w:val="21"/>
          <w:highlight w:val="none"/>
        </w:rPr>
      </w:pPr>
    </w:p>
    <w:p>
      <w:pPr>
        <w:pStyle w:val="24"/>
        <w:rPr>
          <w:highlight w:val="none"/>
        </w:rPr>
      </w:pPr>
    </w:p>
    <w:p>
      <w:pPr>
        <w:spacing w:line="480" w:lineRule="exact"/>
        <w:rPr>
          <w:rFonts w:ascii="宋体" w:hAnsi="宋体" w:cs="仿宋_GB2312"/>
          <w:szCs w:val="21"/>
          <w:highlight w:val="none"/>
        </w:rPr>
      </w:pPr>
    </w:p>
    <w:p>
      <w:pPr>
        <w:spacing w:line="360" w:lineRule="auto"/>
        <w:ind w:firstLine="596" w:firstLineChars="198"/>
        <w:rPr>
          <w:rFonts w:hint="default" w:ascii="宋体" w:hAnsi="宋体" w:eastAsia="宋体" w:cs="仿宋_GB2312"/>
          <w:b/>
          <w:szCs w:val="21"/>
          <w:highlight w:val="none"/>
          <w:lang w:val="en-US" w:eastAsia="zh-CN"/>
        </w:rPr>
      </w:pPr>
      <w:r>
        <w:rPr>
          <w:rFonts w:hint="eastAsia" w:ascii="宋体" w:hAnsi="宋体" w:cs="仿宋_GB2312"/>
          <w:b/>
          <w:sz w:val="30"/>
          <w:szCs w:val="30"/>
          <w:highlight w:val="none"/>
        </w:rPr>
        <w:t>采</w:t>
      </w:r>
      <w:r>
        <w:rPr>
          <w:rFonts w:ascii="宋体" w:hAnsi="宋体" w:cs="仿宋_GB2312"/>
          <w:b/>
          <w:sz w:val="30"/>
          <w:szCs w:val="30"/>
          <w:highlight w:val="none"/>
        </w:rPr>
        <w:t xml:space="preserve"> </w:t>
      </w:r>
      <w:r>
        <w:rPr>
          <w:rFonts w:hint="eastAsia" w:ascii="宋体" w:hAnsi="宋体" w:cs="仿宋_GB2312"/>
          <w:b/>
          <w:sz w:val="30"/>
          <w:szCs w:val="30"/>
          <w:highlight w:val="none"/>
        </w:rPr>
        <w:t>购</w:t>
      </w:r>
      <w:r>
        <w:rPr>
          <w:rFonts w:ascii="宋体" w:hAnsi="宋体" w:cs="仿宋_GB2312"/>
          <w:b/>
          <w:sz w:val="30"/>
          <w:szCs w:val="30"/>
          <w:highlight w:val="none"/>
        </w:rPr>
        <w:t xml:space="preserve"> </w:t>
      </w:r>
      <w:r>
        <w:rPr>
          <w:rFonts w:hint="eastAsia" w:ascii="宋体" w:hAnsi="宋体" w:cs="仿宋_GB2312"/>
          <w:b/>
          <w:sz w:val="30"/>
          <w:szCs w:val="30"/>
          <w:highlight w:val="none"/>
        </w:rPr>
        <w:t>人：</w:t>
      </w:r>
      <w:r>
        <w:rPr>
          <w:rFonts w:hint="eastAsia" w:ascii="宋体" w:hAnsi="宋体" w:cs="仿宋_GB2312"/>
          <w:b/>
          <w:sz w:val="30"/>
          <w:szCs w:val="30"/>
          <w:highlight w:val="none"/>
          <w:u w:val="single"/>
          <w:lang w:val="en-US" w:eastAsia="zh-CN"/>
        </w:rPr>
        <w:t xml:space="preserve">            </w:t>
      </w:r>
      <w:r>
        <w:rPr>
          <w:rFonts w:hint="eastAsia" w:ascii="宋体" w:hAnsi="宋体" w:eastAsia="宋体" w:cs="仿宋_GB2312"/>
          <w:b/>
          <w:sz w:val="30"/>
          <w:szCs w:val="30"/>
          <w:highlight w:val="none"/>
          <w:u w:val="single"/>
          <w:lang w:val="en-US" w:eastAsia="zh-CN"/>
        </w:rPr>
        <w:t>安庆</w:t>
      </w:r>
      <w:r>
        <w:rPr>
          <w:rFonts w:hint="eastAsia" w:ascii="宋体" w:hAnsi="宋体" w:cs="仿宋_GB2312"/>
          <w:b/>
          <w:sz w:val="30"/>
          <w:szCs w:val="30"/>
          <w:highlight w:val="none"/>
          <w:u w:val="single"/>
          <w:lang w:val="en-US" w:eastAsia="zh-CN"/>
        </w:rPr>
        <w:t>职业技术学院</w:t>
      </w:r>
      <w:r>
        <w:rPr>
          <w:rFonts w:hint="eastAsia" w:ascii="宋体" w:hAnsi="宋体" w:eastAsia="宋体" w:cs="仿宋_GB2312"/>
          <w:b/>
          <w:sz w:val="30"/>
          <w:szCs w:val="30"/>
          <w:highlight w:val="none"/>
          <w:u w:val="single"/>
          <w:lang w:val="en-US" w:eastAsia="zh-CN"/>
        </w:rPr>
        <w:t xml:space="preserve"> </w:t>
      </w:r>
      <w:r>
        <w:rPr>
          <w:rFonts w:hint="eastAsia" w:ascii="宋体" w:hAnsi="宋体" w:cs="仿宋_GB2312"/>
          <w:b/>
          <w:sz w:val="30"/>
          <w:szCs w:val="30"/>
          <w:highlight w:val="none"/>
          <w:u w:val="single"/>
          <w:lang w:val="en-US" w:eastAsia="zh-CN"/>
        </w:rPr>
        <w:t xml:space="preserve">              </w:t>
      </w:r>
    </w:p>
    <w:p>
      <w:pPr>
        <w:spacing w:line="360" w:lineRule="auto"/>
        <w:rPr>
          <w:rFonts w:ascii="宋体" w:hAnsi="宋体" w:cs="仿宋_GB2312"/>
          <w:b/>
          <w:sz w:val="24"/>
          <w:highlight w:val="none"/>
        </w:rPr>
      </w:pPr>
    </w:p>
    <w:p>
      <w:pPr>
        <w:spacing w:line="360" w:lineRule="auto"/>
        <w:rPr>
          <w:rFonts w:ascii="宋体" w:hAnsi="宋体" w:cs="仿宋_GB2312"/>
          <w:b/>
          <w:sz w:val="24"/>
          <w:highlight w:val="none"/>
        </w:rPr>
      </w:pPr>
    </w:p>
    <w:p>
      <w:pPr>
        <w:spacing w:line="360" w:lineRule="auto"/>
        <w:rPr>
          <w:rFonts w:ascii="宋体" w:hAnsi="宋体" w:cs="仿宋_GB2312"/>
          <w:b/>
          <w:sz w:val="24"/>
          <w:highlight w:val="none"/>
        </w:rPr>
      </w:pPr>
    </w:p>
    <w:p>
      <w:pPr>
        <w:spacing w:line="360" w:lineRule="auto"/>
        <w:ind w:firstLine="596" w:firstLineChars="198"/>
        <w:rPr>
          <w:rFonts w:ascii="宋体" w:hAnsi="宋体" w:cs="仿宋_GB2312"/>
          <w:b/>
          <w:sz w:val="18"/>
          <w:szCs w:val="18"/>
          <w:highlight w:val="none"/>
        </w:rPr>
      </w:pPr>
      <w:r>
        <w:rPr>
          <w:rFonts w:hint="eastAsia" w:ascii="宋体" w:hAnsi="宋体" w:cs="仿宋_GB2312"/>
          <w:b/>
          <w:sz w:val="30"/>
          <w:szCs w:val="30"/>
          <w:highlight w:val="none"/>
        </w:rPr>
        <w:t>采购</w:t>
      </w:r>
      <w:r>
        <w:rPr>
          <w:rFonts w:hint="eastAsia" w:ascii="宋体" w:hAnsi="宋体" w:cs="仿宋_GB2312"/>
          <w:b/>
          <w:sz w:val="30"/>
          <w:szCs w:val="30"/>
          <w:highlight w:val="none"/>
          <w:lang w:val="en-US" w:eastAsia="zh-CN"/>
        </w:rPr>
        <w:t>代理</w:t>
      </w:r>
      <w:r>
        <w:rPr>
          <w:rFonts w:hint="eastAsia" w:ascii="宋体" w:hAnsi="宋体" w:cs="仿宋_GB2312"/>
          <w:b/>
          <w:sz w:val="30"/>
          <w:szCs w:val="30"/>
          <w:highlight w:val="none"/>
        </w:rPr>
        <w:t>机构：</w:t>
      </w:r>
      <w:r>
        <w:rPr>
          <w:rFonts w:ascii="宋体" w:hAnsi="宋体" w:cs="仿宋_GB2312"/>
          <w:b/>
          <w:sz w:val="30"/>
          <w:szCs w:val="30"/>
          <w:highlight w:val="none"/>
          <w:u w:val="single"/>
        </w:rPr>
        <w:t xml:space="preserve">    </w:t>
      </w:r>
      <w:r>
        <w:rPr>
          <w:rFonts w:hint="eastAsia" w:ascii="宋体" w:hAnsi="宋体" w:cs="仿宋_GB2312"/>
          <w:b/>
          <w:sz w:val="30"/>
          <w:szCs w:val="30"/>
          <w:highlight w:val="none"/>
          <w:u w:val="single"/>
        </w:rPr>
        <w:t>安庆市皖宜项目咨询管理有限公司</w:t>
      </w:r>
      <w:r>
        <w:rPr>
          <w:rFonts w:ascii="宋体" w:hAnsi="宋体" w:cs="仿宋_GB2312"/>
          <w:b/>
          <w:spacing w:val="20"/>
          <w:sz w:val="30"/>
          <w:szCs w:val="30"/>
          <w:highlight w:val="none"/>
          <w:u w:val="single"/>
        </w:rPr>
        <w:t xml:space="preserve">  </w:t>
      </w:r>
      <w:r>
        <w:rPr>
          <w:rFonts w:ascii="宋体" w:hAnsi="宋体" w:cs="仿宋_GB2312"/>
          <w:b/>
          <w:sz w:val="30"/>
          <w:szCs w:val="30"/>
          <w:highlight w:val="none"/>
          <w:u w:val="single"/>
        </w:rPr>
        <w:t xml:space="preserve">  </w:t>
      </w:r>
    </w:p>
    <w:p>
      <w:pPr>
        <w:spacing w:line="360" w:lineRule="auto"/>
        <w:rPr>
          <w:rFonts w:ascii="宋体" w:hAnsi="宋体" w:cs="仿宋_GB2312"/>
          <w:b/>
          <w:sz w:val="24"/>
          <w:highlight w:val="none"/>
          <w:u w:val="single"/>
        </w:rPr>
      </w:pPr>
    </w:p>
    <w:p>
      <w:pPr>
        <w:spacing w:line="360" w:lineRule="auto"/>
        <w:rPr>
          <w:rFonts w:ascii="宋体" w:hAnsi="宋体" w:cs="仿宋_GB2312"/>
          <w:b/>
          <w:sz w:val="24"/>
          <w:highlight w:val="none"/>
          <w:u w:val="single"/>
        </w:rPr>
      </w:pPr>
    </w:p>
    <w:p>
      <w:pPr>
        <w:spacing w:line="360" w:lineRule="auto"/>
        <w:rPr>
          <w:rFonts w:ascii="宋体" w:hAnsi="宋体" w:cs="仿宋_GB2312"/>
          <w:sz w:val="24"/>
          <w:highlight w:val="none"/>
        </w:rPr>
      </w:pPr>
    </w:p>
    <w:p>
      <w:pPr>
        <w:spacing w:line="480" w:lineRule="exact"/>
        <w:rPr>
          <w:rFonts w:ascii="宋体" w:hAnsi="宋体" w:cs="仿宋_GB2312"/>
          <w:szCs w:val="21"/>
          <w:highlight w:val="none"/>
        </w:rPr>
      </w:pPr>
    </w:p>
    <w:p>
      <w:pPr>
        <w:spacing w:line="480" w:lineRule="exact"/>
        <w:jc w:val="center"/>
        <w:rPr>
          <w:rFonts w:ascii="宋体" w:hAnsi="宋体" w:cs="仿宋_GB2312"/>
          <w:sz w:val="32"/>
          <w:szCs w:val="32"/>
          <w:highlight w:val="none"/>
        </w:rPr>
      </w:pPr>
      <w:r>
        <w:rPr>
          <w:rFonts w:hint="eastAsia" w:ascii="宋体" w:hAnsi="宋体" w:cs="仿宋_GB2312"/>
          <w:sz w:val="32"/>
          <w:szCs w:val="32"/>
          <w:highlight w:val="none"/>
        </w:rPr>
        <w:t>日期：</w:t>
      </w:r>
      <w:r>
        <w:rPr>
          <w:rFonts w:hint="eastAsia" w:ascii="宋体" w:hAnsi="宋体" w:cs="仿宋_GB2312"/>
          <w:sz w:val="32"/>
          <w:szCs w:val="32"/>
          <w:highlight w:val="none"/>
          <w:lang w:val="en-US" w:eastAsia="zh-CN"/>
        </w:rPr>
        <w:t>二〇二三</w:t>
      </w:r>
      <w:r>
        <w:rPr>
          <w:rFonts w:hint="eastAsia" w:ascii="宋体" w:hAnsi="宋体" w:cs="仿宋_GB2312"/>
          <w:sz w:val="32"/>
          <w:szCs w:val="32"/>
          <w:highlight w:val="none"/>
        </w:rPr>
        <w:t>年</w:t>
      </w:r>
      <w:r>
        <w:rPr>
          <w:rFonts w:hint="eastAsia" w:ascii="宋体" w:hAnsi="宋体" w:cs="仿宋_GB2312"/>
          <w:sz w:val="32"/>
          <w:szCs w:val="32"/>
          <w:highlight w:val="none"/>
          <w:lang w:val="en-US" w:eastAsia="zh-CN"/>
        </w:rPr>
        <w:t>四</w:t>
      </w:r>
      <w:r>
        <w:rPr>
          <w:rFonts w:hint="eastAsia" w:ascii="宋体" w:hAnsi="宋体" w:cs="仿宋_GB2312"/>
          <w:sz w:val="32"/>
          <w:szCs w:val="32"/>
          <w:highlight w:val="none"/>
        </w:rPr>
        <w:t>月</w:t>
      </w:r>
    </w:p>
    <w:p>
      <w:pPr>
        <w:spacing w:line="480" w:lineRule="exact"/>
        <w:jc w:val="center"/>
        <w:rPr>
          <w:rFonts w:ascii="宋体" w:hAnsi="宋体" w:cs="仿宋_GB2312"/>
          <w:sz w:val="32"/>
          <w:szCs w:val="32"/>
          <w:highlight w:val="none"/>
        </w:rPr>
      </w:pPr>
    </w:p>
    <w:p>
      <w:pPr>
        <w:spacing w:line="480" w:lineRule="exact"/>
        <w:jc w:val="center"/>
        <w:rPr>
          <w:rFonts w:ascii="宋体" w:hAnsi="宋体" w:cs="仿宋_GB2312"/>
          <w:sz w:val="32"/>
          <w:szCs w:val="32"/>
          <w:highlight w:val="none"/>
        </w:rPr>
      </w:pPr>
    </w:p>
    <w:p>
      <w:pPr>
        <w:spacing w:line="480" w:lineRule="exact"/>
        <w:jc w:val="center"/>
        <w:rPr>
          <w:rFonts w:ascii="宋体" w:hAnsi="宋体" w:cs="仿宋_GB2312"/>
          <w:sz w:val="32"/>
          <w:szCs w:val="32"/>
          <w:highlight w:val="none"/>
        </w:rPr>
      </w:pPr>
    </w:p>
    <w:p>
      <w:pPr>
        <w:pStyle w:val="400"/>
        <w:spacing w:before="240" w:after="240"/>
        <w:rPr>
          <w:rFonts w:ascii="宋体" w:hAnsi="宋体"/>
          <w:color w:val="auto"/>
          <w:highlight w:val="none"/>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pPr>
        <w:widowControl/>
        <w:spacing w:line="480" w:lineRule="auto"/>
        <w:jc w:val="center"/>
        <w:rPr>
          <w:rFonts w:ascii="黑体" w:hAnsi="黑体" w:eastAsia="黑体" w:cs="宋体"/>
          <w:b/>
          <w:kern w:val="0"/>
          <w:sz w:val="32"/>
          <w:szCs w:val="32"/>
          <w:highlight w:val="none"/>
        </w:rPr>
      </w:pPr>
      <w:r>
        <w:rPr>
          <w:rFonts w:hint="eastAsia" w:ascii="黑体" w:hAnsi="黑体" w:eastAsia="黑体" w:cs="宋体"/>
          <w:b/>
          <w:kern w:val="0"/>
          <w:sz w:val="32"/>
          <w:szCs w:val="32"/>
          <w:highlight w:val="none"/>
        </w:rPr>
        <w:t>重  要  提  醒</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8.利诱、欺骗招标人违反相关规定按其意图设置</w:t>
      </w:r>
      <w:r>
        <w:rPr>
          <w:rFonts w:hint="eastAsia" w:ascii="宋体" w:hAnsi="宋体" w:cs="宋体"/>
          <w:b/>
          <w:kern w:val="0"/>
          <w:sz w:val="24"/>
          <w:szCs w:val="24"/>
          <w:highlight w:val="none"/>
          <w:lang w:eastAsia="zh-CN"/>
        </w:rPr>
        <w:t>竞争性磋商文件</w:t>
      </w:r>
      <w:r>
        <w:rPr>
          <w:rFonts w:hint="eastAsia" w:ascii="宋体" w:hAnsi="宋体" w:cs="宋体"/>
          <w:b/>
          <w:kern w:val="0"/>
          <w:sz w:val="24"/>
          <w:szCs w:val="24"/>
          <w:highlight w:val="none"/>
        </w:rPr>
        <w:t xml:space="preserve">条款的违法违规行为。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highlight w:val="none"/>
        </w:rPr>
      </w:pPr>
    </w:p>
    <w:p>
      <w:pPr>
        <w:widowControl/>
        <w:spacing w:line="480" w:lineRule="auto"/>
        <w:ind w:firstLine="482" w:firstLineChars="200"/>
        <w:jc w:val="left"/>
        <w:rPr>
          <w:rFonts w:ascii="宋体" w:hAnsi="宋体" w:cs="宋体"/>
          <w:b/>
          <w:kern w:val="0"/>
          <w:sz w:val="24"/>
          <w:szCs w:val="24"/>
          <w:highlight w:val="none"/>
        </w:rPr>
      </w:pPr>
    </w:p>
    <w:p>
      <w:pPr>
        <w:widowControl/>
        <w:spacing w:line="480" w:lineRule="auto"/>
        <w:ind w:firstLine="482" w:firstLineChars="200"/>
        <w:jc w:val="left"/>
        <w:rPr>
          <w:rFonts w:ascii="宋体" w:hAnsi="宋体" w:cs="宋体"/>
          <w:b/>
          <w:kern w:val="0"/>
          <w:sz w:val="24"/>
          <w:szCs w:val="24"/>
          <w:highlight w:val="none"/>
        </w:rPr>
      </w:pP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1、请依据项目资格要求，自行核对营业执照合法有效。</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2、按照磋商文件要求制作磋商响应文件，磋商响应文件创建标识码、文件制作机器码任一项一致的将不予通过符合性评审，并予以披露，记入不良行为记录。</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3、对投标活动中可能发生的质疑、投诉行为，须依法在规定的时间内提出。</w:t>
      </w:r>
      <w:r>
        <w:rPr>
          <w:rFonts w:ascii="宋体" w:hAnsi="宋体" w:cs="宋体"/>
          <w:b/>
          <w:kern w:val="0"/>
          <w:sz w:val="24"/>
          <w:szCs w:val="24"/>
          <w:highlight w:val="none"/>
        </w:rPr>
        <w:t xml:space="preserve">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4、本项目开评标期间，供应商必须保证联系电话、电子邮箱通畅，因供应商通讯不畅造成的不利后果由供应商自行承担。</w:t>
      </w:r>
    </w:p>
    <w:p>
      <w:pPr>
        <w:widowControl/>
        <w:jc w:val="left"/>
        <w:rPr>
          <w:rFonts w:ascii="宋体" w:hAnsi="宋体" w:cs="宋体"/>
          <w:b/>
          <w:sz w:val="36"/>
          <w:szCs w:val="36"/>
          <w:highlight w:val="none"/>
          <w:lang w:val="zh-CN"/>
        </w:rPr>
      </w:pPr>
      <w:r>
        <w:rPr>
          <w:rFonts w:ascii="宋体" w:hAnsi="宋体" w:cs="宋体"/>
          <w:b/>
          <w:sz w:val="36"/>
          <w:szCs w:val="36"/>
          <w:highlight w:val="none"/>
          <w:lang w:val="zh-CN"/>
        </w:rPr>
        <w:br w:type="page"/>
      </w:r>
    </w:p>
    <w:p>
      <w:pPr>
        <w:spacing w:line="480" w:lineRule="exact"/>
        <w:jc w:val="center"/>
        <w:rPr>
          <w:rFonts w:ascii="宋体" w:hAnsi="宋体" w:cs="宋体"/>
          <w:b/>
          <w:sz w:val="36"/>
          <w:szCs w:val="36"/>
          <w:highlight w:val="none"/>
          <w:lang w:val="zh-CN"/>
        </w:rPr>
      </w:pPr>
      <w:r>
        <w:rPr>
          <w:rFonts w:hint="eastAsia" w:ascii="宋体" w:hAnsi="宋体" w:cs="宋体"/>
          <w:b/>
          <w:sz w:val="36"/>
          <w:szCs w:val="36"/>
          <w:highlight w:val="none"/>
          <w:lang w:val="zh-CN"/>
        </w:rPr>
        <w:t>目</w:t>
      </w:r>
      <w:r>
        <w:rPr>
          <w:rFonts w:ascii="宋体" w:hAnsi="宋体" w:cs="宋体"/>
          <w:b/>
          <w:sz w:val="36"/>
          <w:szCs w:val="36"/>
          <w:highlight w:val="none"/>
        </w:rPr>
        <w:t xml:space="preserve">    </w:t>
      </w:r>
      <w:r>
        <w:rPr>
          <w:rFonts w:hint="eastAsia" w:ascii="宋体" w:hAnsi="宋体" w:cs="宋体"/>
          <w:b/>
          <w:sz w:val="36"/>
          <w:szCs w:val="36"/>
          <w:highlight w:val="none"/>
          <w:lang w:val="zh-CN"/>
        </w:rPr>
        <w:t>录</w:t>
      </w:r>
    </w:p>
    <w:p>
      <w:pPr>
        <w:pStyle w:val="43"/>
        <w:tabs>
          <w:tab w:val="right" w:leader="dot" w:pos="9070"/>
        </w:tabs>
        <w:rPr>
          <w:highlight w:val="none"/>
        </w:rPr>
      </w:pPr>
      <w:bookmarkStart w:id="0" w:name="_Toc21464"/>
      <w:bookmarkStart w:id="1" w:name="_Toc54941328"/>
      <w:bookmarkStart w:id="2" w:name="_Toc23467"/>
      <w:bookmarkStart w:id="3" w:name="_Toc439316870"/>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Cs w:val="28"/>
          <w:highlight w:val="none"/>
        </w:rPr>
        <w:fldChar w:fldCharType="begin"/>
      </w:r>
      <w:r>
        <w:rPr>
          <w:szCs w:val="28"/>
          <w:highlight w:val="none"/>
        </w:rPr>
        <w:instrText xml:space="preserve"> HYPERLINK \l _Toc21290 </w:instrText>
      </w:r>
      <w:r>
        <w:rPr>
          <w:szCs w:val="28"/>
          <w:highlight w:val="none"/>
        </w:rPr>
        <w:fldChar w:fldCharType="separate"/>
      </w:r>
      <w:r>
        <w:rPr>
          <w:rFonts w:hint="eastAsia"/>
          <w:bCs/>
          <w:i w:val="0"/>
          <w:iCs/>
          <w:szCs w:val="32"/>
          <w:highlight w:val="none"/>
        </w:rPr>
        <w:t>第一章</w:t>
      </w:r>
      <w:r>
        <w:rPr>
          <w:bCs/>
          <w:i w:val="0"/>
          <w:iCs/>
          <w:szCs w:val="32"/>
          <w:highlight w:val="none"/>
        </w:rPr>
        <w:t xml:space="preserve">   </w:t>
      </w:r>
      <w:r>
        <w:rPr>
          <w:rFonts w:hint="eastAsia"/>
          <w:bCs/>
          <w:i w:val="0"/>
          <w:iCs/>
          <w:szCs w:val="32"/>
          <w:highlight w:val="none"/>
        </w:rPr>
        <w:t>竞争性磋商公告</w:t>
      </w:r>
      <w:r>
        <w:rPr>
          <w:highlight w:val="none"/>
        </w:rPr>
        <w:tab/>
      </w:r>
      <w:r>
        <w:rPr>
          <w:highlight w:val="none"/>
        </w:rPr>
        <w:fldChar w:fldCharType="begin"/>
      </w:r>
      <w:r>
        <w:rPr>
          <w:highlight w:val="none"/>
        </w:rPr>
        <w:instrText xml:space="preserve"> PAGEREF _Toc21290 \h </w:instrText>
      </w:r>
      <w:r>
        <w:rPr>
          <w:highlight w:val="none"/>
        </w:rPr>
        <w:fldChar w:fldCharType="separate"/>
      </w:r>
      <w:r>
        <w:rPr>
          <w:highlight w:val="none"/>
        </w:rPr>
        <w:t>1</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_Toc13471 </w:instrText>
      </w:r>
      <w:r>
        <w:rPr>
          <w:szCs w:val="28"/>
          <w:highlight w:val="none"/>
        </w:rPr>
        <w:fldChar w:fldCharType="separate"/>
      </w:r>
      <w:r>
        <w:rPr>
          <w:rFonts w:hint="eastAsia" w:ascii="Arial" w:hAnsi="Arial"/>
          <w:kern w:val="2"/>
          <w:szCs w:val="32"/>
          <w:highlight w:val="none"/>
        </w:rPr>
        <w:t>第二章</w:t>
      </w:r>
      <w:r>
        <w:rPr>
          <w:rFonts w:ascii="Arial" w:hAnsi="Arial"/>
          <w:kern w:val="2"/>
          <w:szCs w:val="32"/>
          <w:highlight w:val="none"/>
        </w:rPr>
        <w:t xml:space="preserve">   </w:t>
      </w:r>
      <w:r>
        <w:rPr>
          <w:rFonts w:hint="eastAsia" w:ascii="Arial" w:hAnsi="Arial"/>
          <w:kern w:val="2"/>
          <w:szCs w:val="32"/>
          <w:highlight w:val="none"/>
        </w:rPr>
        <w:t>磋商须知</w:t>
      </w:r>
      <w:r>
        <w:rPr>
          <w:highlight w:val="none"/>
        </w:rPr>
        <w:tab/>
      </w:r>
      <w:r>
        <w:rPr>
          <w:highlight w:val="none"/>
        </w:rPr>
        <w:fldChar w:fldCharType="begin"/>
      </w:r>
      <w:r>
        <w:rPr>
          <w:highlight w:val="none"/>
        </w:rPr>
        <w:instrText xml:space="preserve"> PAGEREF _Toc13471 \h </w:instrText>
      </w:r>
      <w:r>
        <w:rPr>
          <w:highlight w:val="none"/>
        </w:rPr>
        <w:fldChar w:fldCharType="separate"/>
      </w:r>
      <w:r>
        <w:rPr>
          <w:highlight w:val="none"/>
        </w:rPr>
        <w:t>6</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_Toc8866 </w:instrText>
      </w:r>
      <w:r>
        <w:rPr>
          <w:szCs w:val="28"/>
          <w:highlight w:val="none"/>
        </w:rPr>
        <w:fldChar w:fldCharType="separate"/>
      </w:r>
      <w:r>
        <w:rPr>
          <w:rFonts w:hint="eastAsia" w:ascii="Arial" w:hAnsi="Arial"/>
          <w:kern w:val="2"/>
          <w:szCs w:val="32"/>
          <w:highlight w:val="none"/>
        </w:rPr>
        <w:t>第</w:t>
      </w:r>
      <w:r>
        <w:rPr>
          <w:rFonts w:hint="eastAsia" w:ascii="Arial" w:hAnsi="Arial"/>
          <w:kern w:val="2"/>
          <w:szCs w:val="32"/>
          <w:highlight w:val="none"/>
          <w:lang w:val="en-US" w:eastAsia="zh-CN"/>
        </w:rPr>
        <w:t>三</w:t>
      </w:r>
      <w:r>
        <w:rPr>
          <w:rFonts w:hint="eastAsia" w:ascii="Arial" w:hAnsi="Arial"/>
          <w:kern w:val="2"/>
          <w:szCs w:val="32"/>
          <w:highlight w:val="none"/>
        </w:rPr>
        <w:t xml:space="preserve">章  </w:t>
      </w:r>
      <w:r>
        <w:rPr>
          <w:rFonts w:hint="eastAsia" w:ascii="Arial" w:hAnsi="Arial"/>
          <w:kern w:val="2"/>
          <w:szCs w:val="32"/>
          <w:highlight w:val="none"/>
          <w:lang w:val="en-US" w:eastAsia="zh-CN"/>
        </w:rPr>
        <w:t xml:space="preserve"> </w:t>
      </w:r>
      <w:r>
        <w:rPr>
          <w:rFonts w:hint="eastAsia" w:ascii="Arial" w:hAnsi="Arial"/>
          <w:kern w:val="2"/>
          <w:szCs w:val="32"/>
          <w:highlight w:val="none"/>
        </w:rPr>
        <w:t>合同条款</w:t>
      </w:r>
      <w:r>
        <w:rPr>
          <w:highlight w:val="none"/>
        </w:rPr>
        <w:tab/>
      </w:r>
      <w:r>
        <w:rPr>
          <w:highlight w:val="none"/>
        </w:rPr>
        <w:fldChar w:fldCharType="begin"/>
      </w:r>
      <w:r>
        <w:rPr>
          <w:highlight w:val="none"/>
        </w:rPr>
        <w:instrText xml:space="preserve"> PAGEREF _Toc8866 \h </w:instrText>
      </w:r>
      <w:r>
        <w:rPr>
          <w:highlight w:val="none"/>
        </w:rPr>
        <w:fldChar w:fldCharType="separate"/>
      </w:r>
      <w:r>
        <w:rPr>
          <w:highlight w:val="none"/>
        </w:rPr>
        <w:t>33</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_Toc27878 </w:instrText>
      </w:r>
      <w:r>
        <w:rPr>
          <w:szCs w:val="28"/>
          <w:highlight w:val="none"/>
        </w:rPr>
        <w:fldChar w:fldCharType="separate"/>
      </w:r>
      <w:r>
        <w:rPr>
          <w:rFonts w:hint="eastAsia" w:ascii="Arial" w:hAnsi="Arial"/>
          <w:kern w:val="2"/>
          <w:szCs w:val="32"/>
          <w:highlight w:val="none"/>
          <w:lang w:val="zh-CN" w:eastAsia="zh-CN"/>
        </w:rPr>
        <w:t>第</w:t>
      </w:r>
      <w:r>
        <w:rPr>
          <w:rFonts w:hint="eastAsia" w:ascii="Arial" w:hAnsi="Arial"/>
          <w:kern w:val="2"/>
          <w:szCs w:val="32"/>
          <w:highlight w:val="none"/>
          <w:lang w:val="en-US" w:eastAsia="zh-CN"/>
        </w:rPr>
        <w:t>四</w:t>
      </w:r>
      <w:r>
        <w:rPr>
          <w:rFonts w:hint="eastAsia" w:ascii="Arial" w:hAnsi="Arial"/>
          <w:kern w:val="2"/>
          <w:szCs w:val="32"/>
          <w:highlight w:val="none"/>
          <w:lang w:val="zh-CN" w:eastAsia="zh-CN"/>
        </w:rPr>
        <w:t xml:space="preserve">章  </w:t>
      </w:r>
      <w:r>
        <w:rPr>
          <w:rFonts w:hint="eastAsia" w:ascii="Arial" w:hAnsi="Arial"/>
          <w:kern w:val="2"/>
          <w:szCs w:val="32"/>
          <w:highlight w:val="none"/>
          <w:lang w:val="en-US" w:eastAsia="zh-CN"/>
        </w:rPr>
        <w:t xml:space="preserve"> 响应文件格式</w:t>
      </w:r>
      <w:r>
        <w:rPr>
          <w:highlight w:val="none"/>
        </w:rPr>
        <w:tab/>
      </w:r>
      <w:r>
        <w:rPr>
          <w:highlight w:val="none"/>
        </w:rPr>
        <w:fldChar w:fldCharType="begin"/>
      </w:r>
      <w:r>
        <w:rPr>
          <w:highlight w:val="none"/>
        </w:rPr>
        <w:instrText xml:space="preserve"> PAGEREF _Toc27878 \h </w:instrText>
      </w:r>
      <w:r>
        <w:rPr>
          <w:highlight w:val="none"/>
        </w:rPr>
        <w:fldChar w:fldCharType="separate"/>
      </w:r>
      <w:r>
        <w:rPr>
          <w:highlight w:val="none"/>
        </w:rPr>
        <w:t>65</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_Toc7613 </w:instrText>
      </w:r>
      <w:r>
        <w:rPr>
          <w:szCs w:val="28"/>
          <w:highlight w:val="none"/>
        </w:rPr>
        <w:fldChar w:fldCharType="separate"/>
      </w:r>
      <w:r>
        <w:rPr>
          <w:rFonts w:hint="eastAsia" w:ascii="宋体" w:hAnsi="宋体" w:eastAsia="宋体" w:cs="宋体"/>
          <w:szCs w:val="36"/>
          <w:highlight w:val="none"/>
        </w:rPr>
        <w:t>第五章</w:t>
      </w:r>
      <w:r>
        <w:rPr>
          <w:rFonts w:hint="eastAsia" w:ascii="宋体" w:hAnsi="宋体" w:eastAsia="宋体" w:cs="宋体"/>
          <w:szCs w:val="36"/>
          <w:highlight w:val="none"/>
          <w:lang w:val="en-US" w:eastAsia="zh-CN"/>
        </w:rPr>
        <w:t xml:space="preserve">  </w:t>
      </w:r>
      <w:r>
        <w:rPr>
          <w:rFonts w:hint="eastAsia" w:ascii="宋体" w:hAnsi="宋体" w:cs="宋体"/>
          <w:szCs w:val="36"/>
          <w:highlight w:val="none"/>
          <w:lang w:val="en-US" w:eastAsia="zh-CN"/>
        </w:rPr>
        <w:t xml:space="preserve"> </w:t>
      </w:r>
      <w:r>
        <w:rPr>
          <w:rFonts w:hint="eastAsia" w:ascii="宋体" w:hAnsi="宋体" w:eastAsia="宋体" w:cs="宋体"/>
          <w:szCs w:val="36"/>
          <w:highlight w:val="none"/>
        </w:rPr>
        <w:t>工程技术经济要求</w:t>
      </w:r>
      <w:r>
        <w:rPr>
          <w:highlight w:val="none"/>
        </w:rPr>
        <w:tab/>
      </w:r>
      <w:r>
        <w:rPr>
          <w:highlight w:val="none"/>
        </w:rPr>
        <w:fldChar w:fldCharType="begin"/>
      </w:r>
      <w:r>
        <w:rPr>
          <w:highlight w:val="none"/>
        </w:rPr>
        <w:instrText xml:space="preserve"> PAGEREF _Toc7613 \h </w:instrText>
      </w:r>
      <w:r>
        <w:rPr>
          <w:highlight w:val="none"/>
        </w:rPr>
        <w:fldChar w:fldCharType="separate"/>
      </w:r>
      <w:r>
        <w:rPr>
          <w:highlight w:val="none"/>
        </w:rPr>
        <w:t>99</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_Toc15873 </w:instrText>
      </w:r>
      <w:r>
        <w:rPr>
          <w:szCs w:val="28"/>
          <w:highlight w:val="none"/>
        </w:rPr>
        <w:fldChar w:fldCharType="separate"/>
      </w:r>
      <w:r>
        <w:rPr>
          <w:rFonts w:hint="eastAsia" w:ascii="宋体" w:hAnsi="宋体" w:eastAsia="宋体" w:cs="宋体"/>
          <w:szCs w:val="36"/>
          <w:highlight w:val="none"/>
        </w:rPr>
        <w:t>第六章</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施工图设计文件</w:t>
      </w:r>
      <w:r>
        <w:rPr>
          <w:highlight w:val="none"/>
        </w:rPr>
        <w:tab/>
      </w:r>
      <w:r>
        <w:rPr>
          <w:highlight w:val="none"/>
        </w:rPr>
        <w:fldChar w:fldCharType="begin"/>
      </w:r>
      <w:r>
        <w:rPr>
          <w:highlight w:val="none"/>
        </w:rPr>
        <w:instrText xml:space="preserve"> PAGEREF _Toc15873 \h </w:instrText>
      </w:r>
      <w:r>
        <w:rPr>
          <w:highlight w:val="none"/>
        </w:rPr>
        <w:fldChar w:fldCharType="separate"/>
      </w:r>
      <w:r>
        <w:rPr>
          <w:highlight w:val="none"/>
        </w:rPr>
        <w:t>100</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_Toc6416 </w:instrText>
      </w:r>
      <w:r>
        <w:rPr>
          <w:szCs w:val="28"/>
          <w:highlight w:val="none"/>
        </w:rPr>
        <w:fldChar w:fldCharType="separate"/>
      </w:r>
      <w:r>
        <w:rPr>
          <w:rFonts w:hint="eastAsia" w:ascii="宋体" w:hAnsi="宋体" w:eastAsia="宋体" w:cs="宋体"/>
          <w:szCs w:val="36"/>
          <w:highlight w:val="none"/>
        </w:rPr>
        <w:t>第七章</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工程量清单</w:t>
      </w:r>
      <w:r>
        <w:rPr>
          <w:highlight w:val="none"/>
        </w:rPr>
        <w:tab/>
      </w:r>
      <w:r>
        <w:rPr>
          <w:highlight w:val="none"/>
        </w:rPr>
        <w:fldChar w:fldCharType="begin"/>
      </w:r>
      <w:r>
        <w:rPr>
          <w:highlight w:val="none"/>
        </w:rPr>
        <w:instrText xml:space="preserve"> PAGEREF _Toc6416 \h </w:instrText>
      </w:r>
      <w:r>
        <w:rPr>
          <w:highlight w:val="none"/>
        </w:rPr>
        <w:fldChar w:fldCharType="separate"/>
      </w:r>
      <w:r>
        <w:rPr>
          <w:highlight w:val="none"/>
        </w:rPr>
        <w:t>101</w:t>
      </w:r>
      <w:r>
        <w:rPr>
          <w:highlight w:val="none"/>
        </w:rPr>
        <w:fldChar w:fldCharType="end"/>
      </w:r>
      <w:r>
        <w:rPr>
          <w:szCs w:val="28"/>
          <w:highlight w:val="none"/>
        </w:rPr>
        <w:fldChar w:fldCharType="end"/>
      </w:r>
    </w:p>
    <w:p>
      <w:pPr>
        <w:pStyle w:val="43"/>
        <w:tabs>
          <w:tab w:val="right" w:leader="dot" w:pos="9070"/>
        </w:tabs>
        <w:rPr>
          <w:highlight w:val="none"/>
        </w:rPr>
      </w:pPr>
      <w:r>
        <w:rPr>
          <w:szCs w:val="28"/>
          <w:highlight w:val="none"/>
        </w:rPr>
        <w:fldChar w:fldCharType="begin"/>
      </w:r>
      <w:r>
        <w:rPr>
          <w:szCs w:val="28"/>
          <w:highlight w:val="none"/>
        </w:rPr>
        <w:instrText xml:space="preserve"> HYPERLINK \l _Toc6084 </w:instrText>
      </w:r>
      <w:r>
        <w:rPr>
          <w:szCs w:val="28"/>
          <w:highlight w:val="none"/>
        </w:rPr>
        <w:fldChar w:fldCharType="separate"/>
      </w:r>
      <w:r>
        <w:rPr>
          <w:rFonts w:hint="eastAsia"/>
          <w:highlight w:val="none"/>
        </w:rPr>
        <w:t>第</w:t>
      </w:r>
      <w:r>
        <w:rPr>
          <w:rFonts w:hint="eastAsia"/>
          <w:highlight w:val="none"/>
          <w:lang w:val="en-US" w:eastAsia="zh-CN"/>
        </w:rPr>
        <w:t>八</w:t>
      </w:r>
      <w:r>
        <w:rPr>
          <w:rFonts w:hint="eastAsia"/>
          <w:highlight w:val="none"/>
        </w:rPr>
        <w:t xml:space="preserve">章  </w:t>
      </w:r>
      <w:r>
        <w:rPr>
          <w:rFonts w:hint="eastAsia"/>
          <w:highlight w:val="none"/>
          <w:lang w:val="en-US" w:eastAsia="zh-CN"/>
        </w:rPr>
        <w:t xml:space="preserve"> </w:t>
      </w:r>
      <w:r>
        <w:rPr>
          <w:rFonts w:hint="eastAsia"/>
          <w:highlight w:val="none"/>
        </w:rPr>
        <w:t>政府采购供应商质疑函范本</w:t>
      </w:r>
      <w:r>
        <w:rPr>
          <w:highlight w:val="none"/>
        </w:rPr>
        <w:tab/>
      </w:r>
      <w:r>
        <w:rPr>
          <w:highlight w:val="none"/>
        </w:rPr>
        <w:fldChar w:fldCharType="begin"/>
      </w:r>
      <w:r>
        <w:rPr>
          <w:highlight w:val="none"/>
        </w:rPr>
        <w:instrText xml:space="preserve"> PAGEREF _Toc6084 \h </w:instrText>
      </w:r>
      <w:r>
        <w:rPr>
          <w:highlight w:val="none"/>
        </w:rPr>
        <w:fldChar w:fldCharType="separate"/>
      </w:r>
      <w:r>
        <w:rPr>
          <w:highlight w:val="none"/>
        </w:rPr>
        <w:t>102</w:t>
      </w:r>
      <w:r>
        <w:rPr>
          <w:highlight w:val="none"/>
        </w:rPr>
        <w:fldChar w:fldCharType="end"/>
      </w:r>
      <w:r>
        <w:rPr>
          <w:szCs w:val="28"/>
          <w:highlight w:val="none"/>
        </w:rPr>
        <w:fldChar w:fldCharType="end"/>
      </w:r>
    </w:p>
    <w:p>
      <w:pPr>
        <w:pStyle w:val="32"/>
        <w:tabs>
          <w:tab w:val="right" w:leader="dot" w:pos="9060"/>
        </w:tabs>
        <w:spacing w:line="360" w:lineRule="auto"/>
        <w:rPr>
          <w:szCs w:val="21"/>
          <w:highlight w:val="none"/>
        </w:rPr>
        <w:sectPr>
          <w:footerReference r:id="rId6" w:type="default"/>
          <w:pgSz w:w="11906" w:h="16838"/>
          <w:pgMar w:top="1418" w:right="1418" w:bottom="1418" w:left="1418" w:header="851" w:footer="680" w:gutter="0"/>
          <w:pgNumType w:fmt="koreanDigital" w:start="0"/>
          <w:cols w:space="720" w:num="1"/>
          <w:docGrid w:linePitch="290" w:charSpace="0"/>
        </w:sectPr>
      </w:pPr>
      <w:r>
        <w:rPr>
          <w:szCs w:val="28"/>
          <w:highlight w:val="none"/>
        </w:rPr>
        <w:fldChar w:fldCharType="end"/>
      </w:r>
    </w:p>
    <w:p>
      <w:pPr>
        <w:pStyle w:val="32"/>
        <w:tabs>
          <w:tab w:val="right" w:leader="dot" w:pos="9060"/>
        </w:tabs>
        <w:spacing w:line="360" w:lineRule="auto"/>
        <w:jc w:val="center"/>
        <w:outlineLvl w:val="0"/>
        <w:rPr>
          <w:rFonts w:ascii="Arial" w:hAnsi="Arial"/>
          <w:b/>
          <w:bCs/>
          <w:i w:val="0"/>
          <w:iCs/>
          <w:sz w:val="32"/>
          <w:szCs w:val="32"/>
          <w:highlight w:val="none"/>
        </w:rPr>
      </w:pPr>
      <w:bookmarkStart w:id="4" w:name="_Toc21290"/>
      <w:r>
        <w:rPr>
          <w:rFonts w:hint="eastAsia"/>
          <w:b/>
          <w:bCs/>
          <w:i w:val="0"/>
          <w:iCs/>
          <w:sz w:val="32"/>
          <w:szCs w:val="32"/>
          <w:highlight w:val="none"/>
        </w:rPr>
        <w:t>第一章</w:t>
      </w:r>
      <w:r>
        <w:rPr>
          <w:b/>
          <w:bCs/>
          <w:i w:val="0"/>
          <w:iCs/>
          <w:sz w:val="32"/>
          <w:szCs w:val="32"/>
          <w:highlight w:val="none"/>
        </w:rPr>
        <w:t xml:space="preserve">   </w:t>
      </w:r>
      <w:r>
        <w:rPr>
          <w:rFonts w:hint="eastAsia"/>
          <w:b/>
          <w:bCs/>
          <w:i w:val="0"/>
          <w:iCs/>
          <w:sz w:val="32"/>
          <w:szCs w:val="32"/>
          <w:highlight w:val="none"/>
        </w:rPr>
        <w:t>竞争性磋商</w:t>
      </w:r>
      <w:bookmarkEnd w:id="0"/>
      <w:r>
        <w:rPr>
          <w:rFonts w:hint="eastAsia"/>
          <w:b/>
          <w:bCs/>
          <w:i w:val="0"/>
          <w:iCs/>
          <w:sz w:val="32"/>
          <w:szCs w:val="32"/>
          <w:highlight w:val="none"/>
        </w:rPr>
        <w:t>公告</w:t>
      </w:r>
      <w:bookmarkEnd w:id="1"/>
      <w:bookmarkEnd w:id="2"/>
      <w:bookmarkEnd w:id="4"/>
    </w:p>
    <w:p>
      <w:pPr>
        <w:jc w:val="center"/>
        <w:rPr>
          <w:rFonts w:ascii="华文中宋" w:hAnsi="华文中宋" w:eastAsia="华文中宋"/>
          <w:b/>
          <w:bCs/>
          <w:kern w:val="44"/>
          <w:sz w:val="32"/>
          <w:szCs w:val="32"/>
          <w:highlight w:val="none"/>
        </w:rPr>
      </w:pPr>
      <w:bookmarkStart w:id="5" w:name="_Toc28359011"/>
      <w:bookmarkStart w:id="6" w:name="_Toc35393797"/>
      <w:r>
        <w:rPr>
          <w:rFonts w:hint="eastAsia" w:ascii="华文中宋" w:hAnsi="华文中宋" w:eastAsia="华文中宋" w:cs="Times New Roman"/>
          <w:b/>
          <w:bCs/>
          <w:kern w:val="44"/>
          <w:sz w:val="32"/>
          <w:szCs w:val="32"/>
          <w:highlight w:val="none"/>
          <w:lang w:eastAsia="zh-CN"/>
        </w:rPr>
        <w:t>安庆职业技术学院篮球场和排球场改造项目</w:t>
      </w:r>
      <w:r>
        <w:rPr>
          <w:rFonts w:hint="eastAsia" w:ascii="华文中宋" w:hAnsi="华文中宋" w:eastAsia="华文中宋" w:cs="Times New Roman"/>
          <w:b/>
          <w:bCs/>
          <w:kern w:val="44"/>
          <w:sz w:val="32"/>
          <w:szCs w:val="32"/>
          <w:highlight w:val="none"/>
        </w:rPr>
        <w:t>竞争性</w:t>
      </w:r>
      <w:r>
        <w:rPr>
          <w:rFonts w:hint="eastAsia" w:ascii="华文中宋" w:hAnsi="华文中宋" w:eastAsia="华文中宋"/>
          <w:b/>
          <w:bCs/>
          <w:kern w:val="44"/>
          <w:sz w:val="32"/>
          <w:szCs w:val="32"/>
          <w:highlight w:val="none"/>
        </w:rPr>
        <w:t>磋商公告</w:t>
      </w:r>
      <w:bookmarkEnd w:id="5"/>
      <w:bookmarkEnd w:id="6"/>
    </w:p>
    <w:tbl>
      <w:tblPr>
        <w:tblStyle w:val="6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highlight w:val="none"/>
              </w:rPr>
            </w:pPr>
            <w:r>
              <w:rPr>
                <w:rFonts w:hint="eastAsia" w:ascii="仿宋" w:hAnsi="仿宋" w:eastAsia="仿宋"/>
                <w:sz w:val="28"/>
                <w:szCs w:val="28"/>
                <w:highlight w:val="none"/>
              </w:rPr>
              <w:t>项目概况</w:t>
            </w:r>
          </w:p>
          <w:p>
            <w:pPr>
              <w:rPr>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安庆职业技术学院篮球场和排球场改造项目</w:t>
            </w:r>
            <w:r>
              <w:rPr>
                <w:rFonts w:hint="eastAsia" w:ascii="仿宋" w:hAnsi="仿宋" w:eastAsia="仿宋"/>
                <w:sz w:val="28"/>
                <w:szCs w:val="28"/>
                <w:highlight w:val="none"/>
              </w:rPr>
              <w:t>的潜在供应商应在安庆市公共资源电子交易平台（http://220.179.5.14:90/TPBidder/memberLogin）获取采购文件，并于</w:t>
            </w:r>
            <w:r>
              <w:rPr>
                <w:rFonts w:hint="eastAsia" w:ascii="仿宋" w:hAnsi="仿宋" w:eastAsia="仿宋"/>
                <w:sz w:val="28"/>
                <w:szCs w:val="28"/>
                <w:highlight w:val="none"/>
                <w:lang w:eastAsia="zh-CN"/>
              </w:rPr>
              <w:t>202</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年</w:t>
            </w:r>
            <w:r>
              <w:rPr>
                <w:rFonts w:hint="eastAsia" w:ascii="仿宋" w:hAnsi="仿宋" w:eastAsia="仿宋"/>
                <w:sz w:val="28"/>
                <w:szCs w:val="28"/>
                <w:highlight w:val="none"/>
                <w:lang w:val="en-US" w:eastAsia="zh-CN"/>
              </w:rPr>
              <w:t xml:space="preserve"> 5 </w:t>
            </w:r>
            <w:r>
              <w:rPr>
                <w:rFonts w:hint="eastAsia" w:ascii="仿宋" w:hAnsi="仿宋" w:eastAsia="仿宋"/>
                <w:sz w:val="28"/>
                <w:szCs w:val="28"/>
                <w:highlight w:val="none"/>
                <w:lang w:eastAsia="zh-CN"/>
              </w:rPr>
              <w:t xml:space="preserve">月 </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lang w:eastAsia="zh-CN"/>
              </w:rPr>
              <w:t xml:space="preserve"> 日 </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lang w:eastAsia="zh-CN"/>
              </w:rPr>
              <w:t xml:space="preserve"> 点 </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lang w:eastAsia="zh-CN"/>
              </w:rPr>
              <w:t xml:space="preserve"> 分</w:t>
            </w:r>
            <w:r>
              <w:rPr>
                <w:rFonts w:hint="eastAsia" w:ascii="仿宋" w:hAnsi="仿宋" w:eastAsia="仿宋"/>
                <w:sz w:val="28"/>
                <w:szCs w:val="28"/>
                <w:highlight w:val="none"/>
              </w:rPr>
              <w:t>（北京时间）前提交响应文件。</w:t>
            </w:r>
            <w:r>
              <w:rPr>
                <w:rFonts w:ascii="Calibri" w:hAnsi="Calibri"/>
                <w:szCs w:val="21"/>
                <w:highlight w:val="none"/>
                <w:lang w:bidi="ar"/>
              </w:rPr>
              <w:t> </w:t>
            </w:r>
          </w:p>
        </w:tc>
      </w:tr>
    </w:tbl>
    <w:p>
      <w:pPr>
        <w:rPr>
          <w:szCs w:val="21"/>
          <w:highlight w:val="none"/>
        </w:rPr>
      </w:pPr>
    </w:p>
    <w:p>
      <w:pPr>
        <w:rPr>
          <w:rFonts w:ascii="黑体" w:hAnsi="黑体" w:eastAsia="黑体" w:cs="宋体"/>
          <w:bCs/>
          <w:sz w:val="28"/>
          <w:szCs w:val="28"/>
          <w:highlight w:val="none"/>
        </w:rPr>
      </w:pPr>
      <w:bookmarkStart w:id="7" w:name="_Toc35393629"/>
      <w:bookmarkStart w:id="8" w:name="_Toc35393798"/>
      <w:bookmarkStart w:id="9" w:name="_Toc28359012"/>
      <w:bookmarkStart w:id="10" w:name="_Toc28359089"/>
      <w:r>
        <w:rPr>
          <w:rFonts w:hint="eastAsia" w:ascii="黑体" w:hAnsi="黑体" w:eastAsia="黑体" w:cs="宋体"/>
          <w:bCs/>
          <w:sz w:val="28"/>
          <w:szCs w:val="28"/>
          <w:highlight w:val="none"/>
        </w:rPr>
        <w:t>一、项目基本情况</w:t>
      </w:r>
      <w:bookmarkEnd w:id="7"/>
      <w:bookmarkEnd w:id="8"/>
      <w:bookmarkEnd w:id="9"/>
      <w:bookmarkEnd w:id="10"/>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CG-AQ-202</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0294   FS34080120230156号</w:t>
      </w:r>
    </w:p>
    <w:p>
      <w:pPr>
        <w:ind w:firstLine="565" w:firstLineChars="202"/>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安庆职业技术学院篮球场和排球场改造项目</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cs="仿宋"/>
          <w:sz w:val="28"/>
          <w:szCs w:val="28"/>
          <w:highlight w:val="none"/>
        </w:rPr>
        <w:t>竞争性磋商</w:t>
      </w:r>
    </w:p>
    <w:p>
      <w:pPr>
        <w:ind w:firstLine="565" w:firstLineChars="202"/>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690000元</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669175.48元</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采购需求：3个篮球场（约1800平米）5mm硅PU地面建设及其画线；2个排球场（约1015平米）8mm硅PU地面建设及其画线；2个排球网架及网；排球场围栏周长约</w:t>
      </w:r>
      <w:r>
        <w:rPr>
          <w:rFonts w:hint="default" w:ascii="仿宋" w:hAnsi="仿宋" w:eastAsia="仿宋"/>
          <w:sz w:val="28"/>
          <w:szCs w:val="28"/>
          <w:highlight w:val="none"/>
          <w:lang w:val="en-US" w:eastAsia="zh-CN"/>
        </w:rPr>
        <w:t>145</w:t>
      </w:r>
      <w:r>
        <w:rPr>
          <w:rFonts w:hint="eastAsia" w:ascii="仿宋" w:hAnsi="仿宋" w:eastAsia="仿宋"/>
          <w:sz w:val="28"/>
          <w:szCs w:val="28"/>
          <w:highlight w:val="none"/>
          <w:lang w:val="en-US" w:eastAsia="zh-CN"/>
        </w:rPr>
        <w:t>米，高</w:t>
      </w:r>
      <w:r>
        <w:rPr>
          <w:rFonts w:hint="default" w:ascii="仿宋" w:hAnsi="仿宋" w:eastAsia="仿宋"/>
          <w:sz w:val="28"/>
          <w:szCs w:val="28"/>
          <w:highlight w:val="none"/>
          <w:lang w:val="en-US" w:eastAsia="zh-CN"/>
        </w:rPr>
        <w:t>4</w:t>
      </w:r>
      <w:r>
        <w:rPr>
          <w:rFonts w:hint="eastAsia" w:ascii="仿宋" w:hAnsi="仿宋" w:eastAsia="仿宋"/>
          <w:sz w:val="28"/>
          <w:szCs w:val="28"/>
          <w:highlight w:val="none"/>
          <w:lang w:val="en-US" w:eastAsia="zh-CN"/>
        </w:rPr>
        <w:t xml:space="preserve">米； </w:t>
      </w:r>
      <w:r>
        <w:rPr>
          <w:rFonts w:hint="default" w:ascii="仿宋" w:hAnsi="仿宋" w:eastAsia="仿宋"/>
          <w:sz w:val="28"/>
          <w:szCs w:val="28"/>
          <w:highlight w:val="none"/>
          <w:lang w:val="en-US" w:eastAsia="zh-CN"/>
        </w:rPr>
        <w:t>6</w:t>
      </w:r>
      <w:r>
        <w:rPr>
          <w:rFonts w:hint="eastAsia" w:ascii="仿宋" w:hAnsi="仿宋" w:eastAsia="仿宋"/>
          <w:sz w:val="28"/>
          <w:szCs w:val="28"/>
          <w:highlight w:val="none"/>
          <w:lang w:val="en-US" w:eastAsia="zh-CN"/>
        </w:rPr>
        <w:t>个篮球架及面板和休息长廊维修刷漆翻新，篮球场东南西三侧排水系统清理维修，将篮球场西侧排水沟水泥盖板更换成铸铁盖板，保证篮球场排水顺畅；篮球场旧围网更新,立柱除锈、刷漆、加固，篮球场原推拉门维护翻新；标准排球裁判椅1个，钢制颁奖台</w:t>
      </w:r>
      <w:r>
        <w:rPr>
          <w:rFonts w:hint="default" w:ascii="仿宋" w:hAnsi="仿宋" w:eastAsia="仿宋"/>
          <w:sz w:val="28"/>
          <w:szCs w:val="28"/>
          <w:highlight w:val="none"/>
          <w:lang w:val="en-US" w:eastAsia="zh-CN"/>
        </w:rPr>
        <w:t>2</w:t>
      </w:r>
      <w:r>
        <w:rPr>
          <w:rFonts w:hint="eastAsia" w:ascii="仿宋" w:hAnsi="仿宋" w:eastAsia="仿宋"/>
          <w:sz w:val="28"/>
          <w:szCs w:val="28"/>
          <w:highlight w:val="none"/>
          <w:lang w:val="en-US" w:eastAsia="zh-CN"/>
        </w:rPr>
        <w:t>组；400米标准田径运动场塑胶跑道划线；篮球场和排球场原有地面处理及施工垃圾清运等。详见施工图设计文件及工程量清单。</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评标办法：</w:t>
      </w:r>
      <w:r>
        <w:rPr>
          <w:rFonts w:hint="eastAsia" w:ascii="仿宋" w:hAnsi="仿宋" w:eastAsia="仿宋"/>
          <w:sz w:val="28"/>
          <w:szCs w:val="28"/>
          <w:highlight w:val="none"/>
          <w:lang w:val="en-US" w:eastAsia="zh-CN"/>
        </w:rPr>
        <w:t>综合评分法</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50日历天</w:t>
      </w:r>
    </w:p>
    <w:p>
      <w:pPr>
        <w:ind w:firstLine="565" w:firstLineChars="202"/>
        <w:rPr>
          <w:rFonts w:ascii="仿宋" w:hAnsi="仿宋" w:eastAsia="仿宋"/>
          <w:i/>
          <w:iCs/>
          <w:sz w:val="28"/>
          <w:szCs w:val="28"/>
          <w:highlight w:val="none"/>
          <w:u w:val="single"/>
        </w:rPr>
      </w:pPr>
      <w:r>
        <w:rPr>
          <w:rFonts w:hint="eastAsia" w:ascii="仿宋" w:hAnsi="仿宋" w:eastAsia="仿宋"/>
          <w:sz w:val="28"/>
          <w:szCs w:val="28"/>
          <w:highlight w:val="none"/>
        </w:rPr>
        <w:t>本项目不接受联合体。</w:t>
      </w:r>
    </w:p>
    <w:p>
      <w:pPr>
        <w:rPr>
          <w:rFonts w:ascii="黑体" w:hAnsi="黑体" w:eastAsia="黑体" w:cs="宋体"/>
          <w:bCs/>
          <w:sz w:val="28"/>
          <w:szCs w:val="28"/>
          <w:highlight w:val="none"/>
        </w:rPr>
      </w:pPr>
      <w:bookmarkStart w:id="11" w:name="_Toc28359090"/>
      <w:bookmarkStart w:id="12" w:name="_Toc35393630"/>
      <w:bookmarkStart w:id="13" w:name="_Toc35393799"/>
      <w:bookmarkStart w:id="14" w:name="_Toc28359013"/>
      <w:r>
        <w:rPr>
          <w:rFonts w:hint="eastAsia" w:ascii="黑体" w:hAnsi="黑体" w:eastAsia="黑体" w:cs="宋体"/>
          <w:bCs/>
          <w:sz w:val="28"/>
          <w:szCs w:val="28"/>
          <w:highlight w:val="none"/>
        </w:rPr>
        <w:t>二、申请人的资格要求：</w:t>
      </w:r>
      <w:bookmarkEnd w:id="11"/>
      <w:bookmarkEnd w:id="12"/>
      <w:bookmarkEnd w:id="13"/>
      <w:bookmarkEnd w:id="14"/>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ind w:firstLine="560" w:firstLineChars="200"/>
        <w:rPr>
          <w:rFonts w:ascii="仿宋" w:hAnsi="仿宋" w:eastAsia="仿宋"/>
          <w:sz w:val="28"/>
          <w:szCs w:val="28"/>
          <w:highlight w:val="none"/>
        </w:rPr>
      </w:pPr>
      <w:bookmarkStart w:id="15" w:name="_Toc28359091"/>
      <w:bookmarkStart w:id="16" w:name="_Toc2835901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.落实政府采购政策需满足的资格要求：根据《政府采购促进中小企业发展管理办法》（财库〔2020〕46号）的相关规定，本项目属于专门面向中小企业采购的项目, 供应商须为中小微企业。残疾人福利性单位、监狱单位视同小型、微型企业，享受本项目专门面向中小企业采购的政策。（中小微企业投标的出具《中小企业声明函》，监狱企业投标的提供由省级以上监狱管理局、戒毒管理局(含新疆生产建设兵团)出具的属于监狱企业的证明文件，不用再提供《中小企业声明函》；残疾人福利性单位投标的提供《残疾人福利性单位声明函》，不用再提供《中小企业声明函》）</w:t>
      </w:r>
      <w:r>
        <w:rPr>
          <w:rFonts w:hint="eastAsia" w:ascii="仿宋" w:hAnsi="仿宋" w:eastAsia="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供应商须具有独立法人资格</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具备住房城乡建设主管部门核发的</w:t>
      </w:r>
      <w:r>
        <w:rPr>
          <w:rFonts w:hint="eastAsia" w:ascii="仿宋" w:hAnsi="仿宋" w:eastAsia="仿宋"/>
          <w:b/>
          <w:bCs/>
          <w:color w:val="auto"/>
          <w:sz w:val="28"/>
          <w:szCs w:val="28"/>
          <w:highlight w:val="none"/>
          <w:lang w:val="en-US" w:eastAsia="zh-CN"/>
        </w:rPr>
        <w:t>建筑</w:t>
      </w:r>
      <w:r>
        <w:rPr>
          <w:rFonts w:hint="eastAsia" w:ascii="仿宋" w:hAnsi="仿宋" w:eastAsia="仿宋"/>
          <w:b/>
          <w:bCs/>
          <w:color w:val="auto"/>
          <w:sz w:val="28"/>
          <w:szCs w:val="28"/>
          <w:highlight w:val="none"/>
        </w:rPr>
        <w:t>工程</w:t>
      </w:r>
      <w:r>
        <w:rPr>
          <w:rFonts w:hint="eastAsia" w:ascii="仿宋" w:hAnsi="仿宋" w:eastAsia="仿宋"/>
          <w:color w:val="auto"/>
          <w:sz w:val="28"/>
          <w:szCs w:val="28"/>
          <w:highlight w:val="none"/>
          <w:lang w:val="en-US" w:eastAsia="zh-CN"/>
        </w:rPr>
        <w:t>施工总</w:t>
      </w:r>
      <w:r>
        <w:rPr>
          <w:rFonts w:hint="eastAsia" w:ascii="仿宋" w:hAnsi="仿宋" w:eastAsia="仿宋"/>
          <w:color w:val="auto"/>
          <w:sz w:val="28"/>
          <w:szCs w:val="28"/>
          <w:highlight w:val="none"/>
        </w:rPr>
        <w:t>承包</w:t>
      </w:r>
      <w:r>
        <w:rPr>
          <w:rFonts w:hint="eastAsia" w:ascii="仿宋" w:hAnsi="仿宋" w:eastAsia="仿宋"/>
          <w:color w:val="auto"/>
          <w:sz w:val="28"/>
          <w:szCs w:val="28"/>
          <w:highlight w:val="none"/>
          <w:lang w:val="en-US" w:eastAsia="zh-CN"/>
        </w:rPr>
        <w:t>叁</w:t>
      </w:r>
      <w:r>
        <w:rPr>
          <w:rFonts w:hint="eastAsia" w:ascii="仿宋" w:hAnsi="仿宋" w:eastAsia="仿宋"/>
          <w:color w:val="auto"/>
          <w:sz w:val="28"/>
          <w:szCs w:val="28"/>
          <w:highlight w:val="none"/>
        </w:rPr>
        <w:t>级及以上资质，且具有合格有效的安全生产许可证；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拟派本工程项目经理资格要求：同时具备下列①、②、③要求：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①具有</w:t>
      </w:r>
      <w:r>
        <w:rPr>
          <w:rFonts w:hint="eastAsia" w:ascii="仿宋" w:hAnsi="仿宋" w:eastAsia="仿宋"/>
          <w:b/>
          <w:bCs/>
          <w:color w:val="auto"/>
          <w:sz w:val="28"/>
          <w:szCs w:val="28"/>
          <w:highlight w:val="none"/>
          <w:lang w:val="en-US" w:eastAsia="zh-CN"/>
        </w:rPr>
        <w:t>建筑工程</w:t>
      </w:r>
      <w:r>
        <w:rPr>
          <w:rFonts w:hint="eastAsia" w:ascii="仿宋" w:hAnsi="仿宋" w:eastAsia="仿宋"/>
          <w:b/>
          <w:bCs/>
          <w:color w:val="auto"/>
          <w:sz w:val="28"/>
          <w:szCs w:val="28"/>
          <w:highlight w:val="none"/>
        </w:rPr>
        <w:t>专业</w:t>
      </w:r>
      <w:r>
        <w:rPr>
          <w:rFonts w:hint="eastAsia" w:ascii="仿宋" w:hAnsi="仿宋" w:eastAsia="仿宋"/>
          <w:color w:val="auto"/>
          <w:sz w:val="28"/>
          <w:szCs w:val="28"/>
          <w:highlight w:val="none"/>
        </w:rPr>
        <w:t>二级及以上注册建造师执业资格；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②取得建设行政主管部门颁发的安全生产考核合格证B证；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③</w:t>
      </w:r>
      <w:r>
        <w:rPr>
          <w:rFonts w:hint="eastAsia" w:ascii="仿宋" w:hAnsi="仿宋" w:eastAsia="仿宋"/>
          <w:color w:val="auto"/>
          <w:sz w:val="28"/>
          <w:szCs w:val="28"/>
          <w:highlight w:val="none"/>
          <w:lang w:val="en-US" w:eastAsia="zh-CN"/>
        </w:rPr>
        <w:t>响应文件提交</w:t>
      </w:r>
      <w:r>
        <w:rPr>
          <w:rFonts w:hint="eastAsia" w:ascii="仿宋" w:hAnsi="仿宋" w:eastAsia="仿宋"/>
          <w:color w:val="auto"/>
          <w:sz w:val="28"/>
          <w:szCs w:val="28"/>
          <w:highlight w:val="none"/>
        </w:rPr>
        <w:t>截止日未在其他项目担任项目经理，或虽在其他项目上担任项目经理岗位，但承诺在本项目</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后合同签订前能够从其他项目变更至本项目并全面履约。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 w:hAnsi="仿宋" w:eastAsia="仿宋" w:cs="Times New Roman"/>
          <w:color w:val="auto"/>
          <w:sz w:val="28"/>
          <w:szCs w:val="28"/>
          <w:highlight w:val="none"/>
          <w:lang w:val="en-US" w:eastAsia="zh-CN"/>
        </w:rPr>
        <w:t>注：</w:t>
      </w:r>
      <w:r>
        <w:rPr>
          <w:rFonts w:hint="eastAsia" w:ascii="仿宋" w:hAnsi="仿宋" w:eastAsia="仿宋" w:cs="Times New Roman"/>
          <w:color w:val="auto"/>
          <w:sz w:val="28"/>
          <w:szCs w:val="28"/>
          <w:highlight w:val="none"/>
          <w:lang w:val="fr-FR" w:eastAsia="zh-CN"/>
        </w:rPr>
        <w:t>项目经理</w:t>
      </w:r>
      <w:r>
        <w:rPr>
          <w:rFonts w:hint="eastAsia" w:ascii="仿宋" w:hAnsi="仿宋" w:eastAsia="仿宋" w:cs="Times New Roman"/>
          <w:color w:val="auto"/>
          <w:sz w:val="28"/>
          <w:szCs w:val="28"/>
          <w:highlight w:val="none"/>
          <w:lang w:val="en-US" w:eastAsia="zh-CN"/>
        </w:rPr>
        <w:t>须提供响应文件提交截止</w:t>
      </w:r>
      <w:r>
        <w:rPr>
          <w:rFonts w:hint="default" w:ascii="仿宋" w:hAnsi="仿宋" w:eastAsia="仿宋" w:cs="Times New Roman"/>
          <w:color w:val="auto"/>
          <w:sz w:val="28"/>
          <w:szCs w:val="28"/>
          <w:highlight w:val="none"/>
          <w:lang w:val="en-US" w:eastAsia="zh-CN"/>
        </w:rPr>
        <w:t>之日前半年内连续三个月</w:t>
      </w:r>
      <w:r>
        <w:rPr>
          <w:rFonts w:hint="eastAsia" w:ascii="仿宋" w:hAnsi="仿宋" w:eastAsia="仿宋" w:cs="Times New Roman"/>
          <w:color w:val="auto"/>
          <w:sz w:val="28"/>
          <w:szCs w:val="28"/>
          <w:highlight w:val="none"/>
          <w:lang w:val="fr-FR" w:eastAsia="zh-CN"/>
        </w:rPr>
        <w:t>社保缴费证明（或社保有效证明材料）。</w:t>
      </w:r>
    </w:p>
    <w:p>
      <w:pPr>
        <w:rPr>
          <w:rFonts w:ascii="黑体" w:hAnsi="黑体" w:eastAsia="黑体" w:cs="宋体"/>
          <w:bCs/>
          <w:sz w:val="28"/>
          <w:szCs w:val="28"/>
          <w:highlight w:val="none"/>
        </w:rPr>
      </w:pPr>
      <w:bookmarkStart w:id="17" w:name="_Toc35393800"/>
      <w:bookmarkStart w:id="18" w:name="_Toc35393631"/>
      <w:r>
        <w:rPr>
          <w:rFonts w:hint="eastAsia" w:ascii="黑体" w:hAnsi="黑体" w:eastAsia="黑体" w:cs="宋体"/>
          <w:bCs/>
          <w:sz w:val="28"/>
          <w:szCs w:val="28"/>
          <w:highlight w:val="none"/>
        </w:rPr>
        <w:t>三、获取采购文件</w:t>
      </w:r>
      <w:bookmarkEnd w:id="15"/>
      <w:bookmarkEnd w:id="16"/>
      <w:bookmarkEnd w:id="17"/>
      <w:bookmarkEnd w:id="18"/>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 xml:space="preserve"> 4 </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 xml:space="preserve"> 28 </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 xml:space="preserve"> 5 </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 xml:space="preserve"> 9 </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，每天上午8:0</w:t>
      </w:r>
      <w:r>
        <w:rPr>
          <w:rFonts w:ascii="仿宋" w:hAnsi="仿宋" w:eastAsia="仿宋" w:cs="宋体"/>
          <w:sz w:val="28"/>
          <w:szCs w:val="28"/>
          <w:highlight w:val="none"/>
        </w:rPr>
        <w:t>0</w:t>
      </w:r>
      <w:r>
        <w:rPr>
          <w:rFonts w:hint="eastAsia" w:ascii="仿宋" w:hAnsi="仿宋" w:eastAsia="仿宋" w:cs="宋体"/>
          <w:sz w:val="28"/>
          <w:szCs w:val="28"/>
          <w:highlight w:val="none"/>
        </w:rPr>
        <w:t>至1</w:t>
      </w:r>
      <w:r>
        <w:rPr>
          <w:rFonts w:ascii="仿宋" w:hAnsi="仿宋" w:eastAsia="仿宋" w:cs="宋体"/>
          <w:sz w:val="28"/>
          <w:szCs w:val="28"/>
          <w:highlight w:val="none"/>
        </w:rPr>
        <w:t>2</w:t>
      </w:r>
      <w:r>
        <w:rPr>
          <w:rFonts w:hint="eastAsia" w:ascii="仿宋" w:hAnsi="仿宋" w:eastAsia="仿宋" w:cs="宋体"/>
          <w:sz w:val="28"/>
          <w:szCs w:val="28"/>
          <w:highlight w:val="none"/>
        </w:rPr>
        <w:t>:0</w:t>
      </w:r>
      <w:r>
        <w:rPr>
          <w:rFonts w:ascii="仿宋" w:hAnsi="仿宋" w:eastAsia="仿宋" w:cs="宋体"/>
          <w:sz w:val="28"/>
          <w:szCs w:val="28"/>
          <w:highlight w:val="none"/>
        </w:rPr>
        <w:t>0</w:t>
      </w:r>
      <w:r>
        <w:rPr>
          <w:rFonts w:hint="eastAsia" w:ascii="仿宋" w:hAnsi="仿宋" w:eastAsia="仿宋" w:cs="宋体"/>
          <w:sz w:val="28"/>
          <w:szCs w:val="28"/>
          <w:highlight w:val="none"/>
        </w:rPr>
        <w:t>，下午1</w:t>
      </w:r>
      <w:r>
        <w:rPr>
          <w:rFonts w:ascii="仿宋" w:hAnsi="仿宋" w:eastAsia="仿宋" w:cs="宋体"/>
          <w:sz w:val="28"/>
          <w:szCs w:val="28"/>
          <w:highlight w:val="none"/>
        </w:rPr>
        <w:t>4</w:t>
      </w:r>
      <w:r>
        <w:rPr>
          <w:rFonts w:hint="eastAsia" w:ascii="仿宋" w:hAnsi="仿宋" w:eastAsia="仿宋" w:cs="宋体"/>
          <w:sz w:val="28"/>
          <w:szCs w:val="28"/>
          <w:highlight w:val="none"/>
        </w:rPr>
        <w:t>:3</w:t>
      </w:r>
      <w:r>
        <w:rPr>
          <w:rFonts w:ascii="仿宋" w:hAnsi="仿宋" w:eastAsia="仿宋" w:cs="宋体"/>
          <w:sz w:val="28"/>
          <w:szCs w:val="28"/>
          <w:highlight w:val="none"/>
        </w:rPr>
        <w:t>0</w:t>
      </w:r>
      <w:r>
        <w:rPr>
          <w:rFonts w:hint="eastAsia" w:ascii="仿宋" w:hAnsi="仿宋" w:eastAsia="仿宋" w:cs="宋体"/>
          <w:sz w:val="28"/>
          <w:szCs w:val="28"/>
          <w:highlight w:val="none"/>
        </w:rPr>
        <w:t>至1</w:t>
      </w:r>
      <w:r>
        <w:rPr>
          <w:rFonts w:ascii="仿宋" w:hAnsi="仿宋" w:eastAsia="仿宋" w:cs="宋体"/>
          <w:sz w:val="28"/>
          <w:szCs w:val="28"/>
          <w:highlight w:val="none"/>
        </w:rPr>
        <w:t>7</w:t>
      </w:r>
      <w:r>
        <w:rPr>
          <w:rFonts w:hint="eastAsia" w:ascii="仿宋" w:hAnsi="仿宋" w:eastAsia="仿宋" w:cs="宋体"/>
          <w:sz w:val="28"/>
          <w:szCs w:val="28"/>
          <w:highlight w:val="none"/>
        </w:rPr>
        <w:t>:3</w:t>
      </w:r>
      <w:r>
        <w:rPr>
          <w:rFonts w:ascii="仿宋" w:hAnsi="仿宋" w:eastAsia="仿宋" w:cs="宋体"/>
          <w:sz w:val="28"/>
          <w:szCs w:val="28"/>
          <w:highlight w:val="none"/>
        </w:rPr>
        <w:t>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ind w:firstLine="565" w:firstLineChars="202"/>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sz w:val="28"/>
          <w:szCs w:val="28"/>
          <w:highlight w:val="none"/>
        </w:rPr>
        <w:t>安庆市公共资源电子交易平台（http://220.179.5.14:90/TPBidder/memberLogin）</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方式：（1）供应商须登录安庆市公共资源</w:t>
      </w:r>
      <w:r>
        <w:rPr>
          <w:rFonts w:hint="eastAsia" w:ascii="仿宋" w:hAnsi="仿宋" w:eastAsia="仿宋" w:cs="宋体"/>
          <w:sz w:val="28"/>
          <w:szCs w:val="28"/>
          <w:highlight w:val="none"/>
          <w:lang w:val="en-US" w:eastAsia="zh-CN"/>
        </w:rPr>
        <w:t>电子交易</w:t>
      </w:r>
      <w:bookmarkStart w:id="428" w:name="_GoBack"/>
      <w:bookmarkEnd w:id="428"/>
      <w:r>
        <w:rPr>
          <w:rFonts w:hint="eastAsia" w:ascii="仿宋" w:hAnsi="仿宋" w:eastAsia="仿宋" w:cs="宋体"/>
          <w:sz w:val="28"/>
          <w:szCs w:val="28"/>
          <w:highlight w:val="none"/>
        </w:rPr>
        <w:t xml:space="preserve">平台查询、获取磋商文件。首次登录须在安徽省公共资源交易市场主体库（ http://61.190.70.20/ahggfwpt-zhutiku/dengludenglu）办理入库手续，办理入库不收取任何费用。安徽省公共资源交易市场主体库使用相关问题（如系统登录、信息登记、录入及提交、数字证书关联等）请拨打服务电话：010-86483801 转 5-2（工作日）。  </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CA 数字证书有关问题请拨打服务电话：安徽 CA 客服400-880-4959（工作日）。</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市场主体招标环节和投标环节系统使用服务电话：400-998-0000（8:00-21:00）。</w:t>
      </w:r>
    </w:p>
    <w:p>
      <w:pPr>
        <w:ind w:firstLine="565" w:firstLineChars="202"/>
        <w:rPr>
          <w:rFonts w:ascii="仿宋" w:hAnsi="仿宋" w:eastAsia="仿宋" w:cs="宋体"/>
          <w:sz w:val="28"/>
          <w:szCs w:val="28"/>
          <w:highlight w:val="none"/>
          <w:u w:val="single"/>
        </w:rPr>
      </w:pPr>
      <w:r>
        <w:rPr>
          <w:rFonts w:hint="eastAsia" w:ascii="仿宋" w:hAnsi="仿宋" w:eastAsia="仿宋" w:cs="宋体"/>
          <w:sz w:val="28"/>
          <w:szCs w:val="28"/>
          <w:highlight w:val="none"/>
        </w:rPr>
        <w:t>（2）供应商登录</w:t>
      </w:r>
      <w:r>
        <w:rPr>
          <w:rFonts w:hint="eastAsia" w:ascii="仿宋" w:hAnsi="仿宋" w:eastAsia="仿宋"/>
          <w:sz w:val="28"/>
          <w:szCs w:val="28"/>
          <w:highlight w:val="none"/>
        </w:rPr>
        <w:t>安庆市公共资源电子交易平台</w:t>
      </w:r>
      <w:r>
        <w:rPr>
          <w:rFonts w:hint="eastAsia" w:ascii="仿宋" w:hAnsi="仿宋" w:eastAsia="仿宋" w:cs="宋体"/>
          <w:sz w:val="28"/>
          <w:szCs w:val="28"/>
          <w:highlight w:val="none"/>
        </w:rPr>
        <w:t>获取采购文件及其它资料（含澄清和补充说明等）。如在采购文件获取过程中遇到系统问题，请拨打技术支持服务热线400-9980000，QQ：4008503300。</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售价：免费。</w:t>
      </w:r>
    </w:p>
    <w:p>
      <w:pPr>
        <w:rPr>
          <w:rFonts w:ascii="黑体" w:hAnsi="黑体" w:eastAsia="黑体" w:cs="宋体"/>
          <w:bCs/>
          <w:sz w:val="28"/>
          <w:szCs w:val="28"/>
          <w:highlight w:val="none"/>
        </w:rPr>
      </w:pPr>
      <w:bookmarkStart w:id="19" w:name="_Toc35393632"/>
      <w:bookmarkStart w:id="20" w:name="_Toc28359015"/>
      <w:bookmarkStart w:id="21" w:name="_Toc35393801"/>
      <w:bookmarkStart w:id="22" w:name="_Toc28359092"/>
      <w:r>
        <w:rPr>
          <w:rFonts w:hint="eastAsia" w:ascii="黑体" w:hAnsi="黑体" w:eastAsia="黑体" w:cs="宋体"/>
          <w:bCs/>
          <w:sz w:val="28"/>
          <w:szCs w:val="28"/>
          <w:highlight w:val="none"/>
        </w:rPr>
        <w:t>四、响应文件提交</w:t>
      </w:r>
      <w:bookmarkEnd w:id="19"/>
      <w:bookmarkEnd w:id="20"/>
      <w:bookmarkEnd w:id="21"/>
      <w:bookmarkEnd w:id="22"/>
    </w:p>
    <w:p>
      <w:pPr>
        <w:ind w:firstLine="565" w:firstLineChars="202"/>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none"/>
          <w:lang w:val="en-US" w:eastAsia="zh-CN"/>
        </w:rPr>
        <w:t>2023年 5 月 11 日 9 点 30 分</w:t>
      </w:r>
      <w:r>
        <w:rPr>
          <w:rFonts w:hint="eastAsia" w:ascii="仿宋" w:hAnsi="仿宋" w:eastAsia="仿宋"/>
          <w:bCs/>
          <w:sz w:val="28"/>
          <w:szCs w:val="28"/>
          <w:highlight w:val="none"/>
        </w:rPr>
        <w:t>（北京时间）</w:t>
      </w:r>
    </w:p>
    <w:p>
      <w:pPr>
        <w:ind w:firstLine="565" w:firstLineChars="202"/>
        <w:rPr>
          <w:rFonts w:ascii="仿宋" w:hAnsi="仿宋" w:eastAsia="仿宋"/>
          <w:bCs/>
          <w:sz w:val="28"/>
          <w:szCs w:val="28"/>
          <w:highlight w:val="none"/>
          <w:u w:val="single"/>
        </w:rPr>
      </w:pPr>
      <w:r>
        <w:rPr>
          <w:rFonts w:hint="eastAsia" w:ascii="仿宋" w:hAnsi="仿宋" w:eastAsia="仿宋"/>
          <w:sz w:val="28"/>
          <w:szCs w:val="28"/>
          <w:highlight w:val="none"/>
        </w:rPr>
        <w:t>地点：安庆市公共资源电子交易平台</w:t>
      </w:r>
    </w:p>
    <w:p>
      <w:pPr>
        <w:rPr>
          <w:rFonts w:ascii="黑体" w:hAnsi="黑体" w:eastAsia="黑体" w:cs="宋体"/>
          <w:bCs/>
          <w:sz w:val="28"/>
          <w:szCs w:val="28"/>
          <w:highlight w:val="none"/>
        </w:rPr>
      </w:pPr>
      <w:bookmarkStart w:id="23" w:name="_Toc35393802"/>
      <w:bookmarkStart w:id="24" w:name="_Toc35393633"/>
      <w:bookmarkStart w:id="25" w:name="_Toc28359016"/>
      <w:bookmarkStart w:id="26" w:name="_Toc28359093"/>
      <w:r>
        <w:rPr>
          <w:rFonts w:hint="eastAsia" w:ascii="黑体" w:hAnsi="黑体" w:eastAsia="黑体" w:cs="宋体"/>
          <w:bCs/>
          <w:sz w:val="28"/>
          <w:szCs w:val="28"/>
          <w:highlight w:val="none"/>
        </w:rPr>
        <w:t>五、开启</w:t>
      </w:r>
      <w:bookmarkEnd w:id="23"/>
      <w:bookmarkEnd w:id="24"/>
      <w:bookmarkEnd w:id="25"/>
      <w:bookmarkEnd w:id="26"/>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时间：</w:t>
      </w:r>
      <w:r>
        <w:rPr>
          <w:rFonts w:hint="eastAsia" w:ascii="仿宋" w:hAnsi="仿宋" w:eastAsia="仿宋"/>
          <w:sz w:val="28"/>
          <w:szCs w:val="28"/>
          <w:highlight w:val="none"/>
          <w:u w:val="none"/>
          <w:lang w:val="en-US" w:eastAsia="zh-CN"/>
        </w:rPr>
        <w:t>2023年 5 月 11 日 9 点 30 分</w:t>
      </w:r>
      <w:r>
        <w:rPr>
          <w:rFonts w:hint="eastAsia" w:ascii="仿宋" w:hAnsi="仿宋" w:eastAsia="仿宋"/>
          <w:sz w:val="28"/>
          <w:szCs w:val="28"/>
          <w:highlight w:val="none"/>
        </w:rPr>
        <w:t>（北京时间）</w:t>
      </w:r>
    </w:p>
    <w:p>
      <w:pPr>
        <w:ind w:firstLine="565" w:firstLineChars="202"/>
        <w:rPr>
          <w:rFonts w:ascii="仿宋" w:hAnsi="仿宋" w:eastAsia="仿宋"/>
          <w:sz w:val="28"/>
          <w:szCs w:val="28"/>
          <w:highlight w:val="none"/>
        </w:rPr>
      </w:pPr>
      <w:bookmarkStart w:id="27" w:name="_Toc35393803"/>
      <w:bookmarkStart w:id="28" w:name="_Toc35393634"/>
      <w:bookmarkStart w:id="29" w:name="_Toc28359094"/>
      <w:bookmarkStart w:id="30" w:name="_Toc28359017"/>
      <w:r>
        <w:rPr>
          <w:rFonts w:hint="eastAsia" w:ascii="仿宋" w:hAnsi="仿宋" w:eastAsia="仿宋"/>
          <w:sz w:val="28"/>
          <w:szCs w:val="28"/>
          <w:highlight w:val="none"/>
        </w:rPr>
        <w:t>地点：安庆市公共资源电子交易平台</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开评标方式：全流程电子化交易，在线开标</w:t>
      </w:r>
    </w:p>
    <w:p>
      <w:pPr>
        <w:rPr>
          <w:rFonts w:ascii="黑体" w:hAnsi="黑体" w:eastAsia="黑体" w:cs="宋体"/>
          <w:bCs/>
          <w:sz w:val="28"/>
          <w:szCs w:val="28"/>
          <w:highlight w:val="none"/>
        </w:rPr>
      </w:pPr>
      <w:r>
        <w:rPr>
          <w:rFonts w:hint="eastAsia" w:ascii="黑体" w:hAnsi="黑体" w:eastAsia="黑体" w:cs="宋体"/>
          <w:bCs/>
          <w:sz w:val="28"/>
          <w:szCs w:val="28"/>
          <w:highlight w:val="none"/>
        </w:rPr>
        <w:t>六、公告期限</w:t>
      </w:r>
      <w:bookmarkEnd w:id="27"/>
      <w:bookmarkEnd w:id="28"/>
      <w:bookmarkEnd w:id="29"/>
      <w:bookmarkEnd w:id="30"/>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highlight w:val="none"/>
        </w:rPr>
      </w:pPr>
      <w:bookmarkStart w:id="31" w:name="_Toc35393635"/>
      <w:bookmarkStart w:id="32" w:name="_Toc35393804"/>
      <w:r>
        <w:rPr>
          <w:rFonts w:hint="eastAsia" w:ascii="黑体" w:hAnsi="黑体" w:eastAsia="黑体" w:cs="宋体"/>
          <w:bCs/>
          <w:sz w:val="28"/>
          <w:szCs w:val="28"/>
          <w:highlight w:val="none"/>
        </w:rPr>
        <w:t>七、其他补充事宜</w:t>
      </w:r>
      <w:bookmarkEnd w:id="31"/>
      <w:bookmarkEnd w:id="32"/>
    </w:p>
    <w:p>
      <w:pPr>
        <w:ind w:firstLine="565" w:firstLineChars="202"/>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供应商的联系人电话(手机)、电子邮箱等通讯方式在谈判或磋商过程中必须保持畅通，否则因上述原因造成的后果，责任自负。</w:t>
      </w:r>
    </w:p>
    <w:p>
      <w:pPr>
        <w:ind w:firstLine="565" w:firstLineChars="202"/>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本项目采用电子招投标方式，请供应商在“安庆市公共资源交易服务网”下载专区下载“电子招投标系统平台操作手册”、在“安庆市公共资源交易中心网员系统”—登陆页面—工具下载中下载电子</w:t>
      </w:r>
      <w:r>
        <w:rPr>
          <w:rFonts w:hint="eastAsia" w:ascii="仿宋" w:hAnsi="仿宋" w:eastAsia="仿宋"/>
          <w:sz w:val="28"/>
          <w:szCs w:val="28"/>
          <w:highlight w:val="none"/>
          <w:lang w:eastAsia="zh-CN"/>
        </w:rPr>
        <w:t>磋商响应文件</w:t>
      </w:r>
      <w:r>
        <w:rPr>
          <w:rFonts w:hint="eastAsia" w:ascii="仿宋" w:hAnsi="仿宋" w:eastAsia="仿宋"/>
          <w:sz w:val="28"/>
          <w:szCs w:val="28"/>
          <w:highlight w:val="none"/>
        </w:rPr>
        <w:t>（响应文件）制作工具等相关资料，仔细阅读采购文件要求和相关操作手册。</w:t>
      </w:r>
    </w:p>
    <w:p>
      <w:pPr>
        <w:ind w:firstLine="565" w:firstLineChars="202"/>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响应文件中安徽省公共资源交易市场主体库网址链接不视为响应文件组成部分，供应商须严格按照采购文件要求的格式进行编制响应文件。</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本项目开评标实行全流程电子化，开标活动在线完成。开标时供应商不得到达开标现场，不接受现场解密，实行远程解密和在线询标。各供应商认真学习《安庆新系统投标单位操作手册v1.0》，务必掌握远程解密方法和在线回复询标方法。</w:t>
      </w:r>
    </w:p>
    <w:p>
      <w:pPr>
        <w:rPr>
          <w:rFonts w:ascii="黑体" w:hAnsi="黑体" w:eastAsia="黑体" w:cs="宋体"/>
          <w:bCs/>
          <w:sz w:val="28"/>
          <w:szCs w:val="28"/>
          <w:highlight w:val="none"/>
        </w:rPr>
      </w:pPr>
      <w:bookmarkStart w:id="33" w:name="_Toc28359095"/>
      <w:bookmarkStart w:id="34" w:name="_Toc28359018"/>
      <w:bookmarkStart w:id="35" w:name="_Toc35393805"/>
      <w:bookmarkStart w:id="36" w:name="_Toc35393636"/>
      <w:r>
        <w:rPr>
          <w:rFonts w:hint="eastAsia" w:ascii="黑体" w:hAnsi="黑体" w:eastAsia="黑体" w:cs="宋体"/>
          <w:bCs/>
          <w:sz w:val="28"/>
          <w:szCs w:val="28"/>
          <w:highlight w:val="none"/>
        </w:rPr>
        <w:t>八、凡对本次采购提出询问，请按</w:t>
      </w:r>
      <w:r>
        <w:rPr>
          <w:rFonts w:ascii="黑体" w:hAnsi="黑体" w:eastAsia="黑体" w:cs="宋体"/>
          <w:bCs/>
          <w:sz w:val="28"/>
          <w:szCs w:val="28"/>
          <w:highlight w:val="none"/>
        </w:rPr>
        <w:t>以下方式</w:t>
      </w:r>
      <w:r>
        <w:rPr>
          <w:rFonts w:hint="eastAsia" w:ascii="黑体" w:hAnsi="黑体" w:eastAsia="黑体" w:cs="宋体"/>
          <w:bCs/>
          <w:sz w:val="28"/>
          <w:szCs w:val="28"/>
          <w:highlight w:val="none"/>
        </w:rPr>
        <w:t>联系。</w:t>
      </w:r>
      <w:bookmarkEnd w:id="33"/>
      <w:bookmarkEnd w:id="34"/>
      <w:bookmarkEnd w:id="35"/>
      <w:bookmarkEnd w:id="36"/>
    </w:p>
    <w:p>
      <w:pPr>
        <w:ind w:firstLine="565" w:firstLineChars="202"/>
        <w:rPr>
          <w:rFonts w:ascii="仿宋" w:hAnsi="仿宋" w:eastAsia="仿宋" w:cs="宋体"/>
          <w:bCs/>
          <w:sz w:val="28"/>
          <w:szCs w:val="28"/>
          <w:highlight w:val="none"/>
        </w:rPr>
      </w:pPr>
      <w:bookmarkStart w:id="37" w:name="_Toc28359019"/>
      <w:bookmarkStart w:id="38" w:name="_Toc35393637"/>
      <w:bookmarkStart w:id="39" w:name="_Toc28359096"/>
      <w:bookmarkStart w:id="40" w:name="_Toc35393806"/>
      <w:bookmarkStart w:id="41" w:name="_Toc35393638"/>
      <w:bookmarkStart w:id="42" w:name="_Toc35393807"/>
      <w:bookmarkStart w:id="43" w:name="_Toc28359097"/>
      <w:bookmarkStart w:id="44" w:name="_Toc28359020"/>
      <w:r>
        <w:rPr>
          <w:rFonts w:hint="eastAsia" w:ascii="仿宋" w:hAnsi="仿宋" w:eastAsia="仿宋" w:cs="宋体"/>
          <w:bCs/>
          <w:sz w:val="28"/>
          <w:szCs w:val="28"/>
          <w:highlight w:val="none"/>
        </w:rPr>
        <w:t>1.采购人信息</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ascii="仿宋" w:hAnsi="仿宋" w:eastAsia="仿宋" w:cs="Times New Roman"/>
          <w:sz w:val="28"/>
          <w:szCs w:val="28"/>
          <w:highlight w:val="none"/>
          <w:u w:val="none"/>
        </w:rPr>
      </w:pPr>
      <w:r>
        <w:rPr>
          <w:rFonts w:hint="eastAsia" w:ascii="仿宋" w:hAnsi="仿宋" w:eastAsia="仿宋" w:cs="Times New Roman"/>
          <w:sz w:val="28"/>
          <w:szCs w:val="28"/>
          <w:highlight w:val="none"/>
          <w:u w:val="none"/>
        </w:rPr>
        <w:t>名    称：</w:t>
      </w:r>
      <w:r>
        <w:rPr>
          <w:rFonts w:hint="eastAsia" w:ascii="仿宋" w:hAnsi="仿宋" w:eastAsia="仿宋" w:cs="Times New Roman"/>
          <w:sz w:val="28"/>
          <w:szCs w:val="28"/>
          <w:highlight w:val="none"/>
          <w:u w:val="none"/>
          <w:lang w:val="en-US" w:eastAsia="zh-CN"/>
        </w:rPr>
        <w:t xml:space="preserve">安庆职业技术学院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ascii="仿宋" w:hAnsi="仿宋" w:eastAsia="仿宋" w:cs="Times New Roman"/>
          <w:sz w:val="28"/>
          <w:szCs w:val="28"/>
          <w:highlight w:val="none"/>
          <w:u w:val="none"/>
        </w:rPr>
      </w:pPr>
      <w:r>
        <w:rPr>
          <w:rFonts w:hint="eastAsia" w:ascii="仿宋" w:hAnsi="仿宋" w:eastAsia="仿宋" w:cs="Times New Roman"/>
          <w:sz w:val="28"/>
          <w:szCs w:val="28"/>
          <w:highlight w:val="none"/>
          <w:u w:val="none"/>
        </w:rPr>
        <w:t>地    址：安庆市</w:t>
      </w:r>
      <w:r>
        <w:rPr>
          <w:rFonts w:hint="eastAsia" w:ascii="仿宋" w:hAnsi="仿宋" w:eastAsia="仿宋" w:cs="Times New Roman"/>
          <w:sz w:val="28"/>
          <w:szCs w:val="28"/>
          <w:highlight w:val="none"/>
          <w:u w:val="none"/>
          <w:lang w:val="en-US" w:eastAsia="zh-CN"/>
        </w:rPr>
        <w:t>经开区</w:t>
      </w:r>
      <w:r>
        <w:rPr>
          <w:rFonts w:hint="eastAsia" w:ascii="仿宋" w:hAnsi="仿宋" w:eastAsia="仿宋" w:cs="Times New Roman"/>
          <w:sz w:val="28"/>
          <w:szCs w:val="28"/>
          <w:highlight w:val="none"/>
          <w:u w:val="none"/>
        </w:rPr>
        <w:t>天柱山东路99号</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ascii="仿宋" w:hAnsi="仿宋" w:eastAsia="仿宋" w:cs="Times New Roman"/>
          <w:sz w:val="28"/>
          <w:szCs w:val="28"/>
          <w:highlight w:val="none"/>
          <w:u w:val="none"/>
        </w:rPr>
      </w:pPr>
      <w:r>
        <w:rPr>
          <w:rFonts w:hint="eastAsia" w:ascii="仿宋" w:hAnsi="仿宋" w:eastAsia="仿宋" w:cs="Times New Roman"/>
          <w:sz w:val="28"/>
          <w:szCs w:val="28"/>
          <w:highlight w:val="none"/>
          <w:u w:val="none"/>
        </w:rPr>
        <w:t>联 系 人：</w:t>
      </w:r>
      <w:r>
        <w:rPr>
          <w:rFonts w:hint="eastAsia" w:ascii="仿宋" w:hAnsi="仿宋" w:eastAsia="仿宋" w:cs="Times New Roman"/>
          <w:sz w:val="28"/>
          <w:szCs w:val="28"/>
          <w:highlight w:val="none"/>
          <w:u w:val="none"/>
          <w:lang w:val="en-US" w:eastAsia="zh-CN"/>
        </w:rPr>
        <w:t xml:space="preserve">朱老师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ascii="仿宋" w:hAnsi="仿宋" w:eastAsia="仿宋" w:cs="Times New Roman"/>
          <w:sz w:val="28"/>
          <w:szCs w:val="28"/>
          <w:highlight w:val="none"/>
          <w:u w:val="none"/>
        </w:rPr>
      </w:pPr>
      <w:r>
        <w:rPr>
          <w:rFonts w:hint="eastAsia" w:ascii="仿宋" w:hAnsi="仿宋" w:eastAsia="仿宋" w:cs="Times New Roman"/>
          <w:sz w:val="28"/>
          <w:szCs w:val="28"/>
          <w:highlight w:val="none"/>
          <w:u w:val="none"/>
        </w:rPr>
        <w:t>联系方式：0556-5283045</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u w:val="none"/>
        </w:rPr>
        <w:t>安庆市皖宜项目咨询管理有限公司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none"/>
        </w:rPr>
        <w:t>安庆市</w:t>
      </w:r>
      <w:r>
        <w:rPr>
          <w:rFonts w:hint="eastAsia" w:ascii="仿宋" w:hAnsi="仿宋" w:eastAsia="仿宋"/>
          <w:sz w:val="28"/>
          <w:szCs w:val="28"/>
          <w:highlight w:val="none"/>
          <w:u w:val="none"/>
          <w:lang w:val="en-US" w:eastAsia="zh-CN"/>
        </w:rPr>
        <w:t>大观区</w:t>
      </w:r>
      <w:r>
        <w:rPr>
          <w:rFonts w:hint="eastAsia" w:ascii="仿宋" w:hAnsi="仿宋" w:eastAsia="仿宋"/>
          <w:sz w:val="28"/>
          <w:szCs w:val="28"/>
          <w:highlight w:val="none"/>
          <w:u w:val="none"/>
        </w:rPr>
        <w:t>龙山路213号五楼交易一部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ascii="仿宋" w:hAnsi="仿宋" w:eastAsia="仿宋"/>
          <w:sz w:val="28"/>
          <w:szCs w:val="28"/>
          <w:highlight w:val="none"/>
        </w:rPr>
      </w:pPr>
      <w:r>
        <w:rPr>
          <w:rFonts w:hint="eastAsia" w:ascii="仿宋" w:hAnsi="仿宋" w:eastAsia="仿宋" w:cstheme="minorBidi"/>
          <w:sz w:val="28"/>
          <w:szCs w:val="28"/>
          <w:highlight w:val="none"/>
        </w:rPr>
        <w:t>联 系 人：</w:t>
      </w:r>
      <w:r>
        <w:rPr>
          <w:rFonts w:hint="eastAsia" w:ascii="仿宋" w:hAnsi="仿宋" w:eastAsia="仿宋"/>
          <w:sz w:val="28"/>
          <w:szCs w:val="28"/>
          <w:highlight w:val="none"/>
          <w:u w:val="none"/>
          <w:lang w:val="en-US" w:eastAsia="zh-CN"/>
        </w:rPr>
        <w:t>张白梅</w:t>
      </w:r>
      <w:r>
        <w:rPr>
          <w:rFonts w:hint="eastAsia" w:ascii="仿宋" w:hAnsi="仿宋" w:eastAsia="仿宋"/>
          <w:sz w:val="28"/>
          <w:szCs w:val="28"/>
          <w:highlight w:val="none"/>
          <w:u w:val="none"/>
        </w:rPr>
        <w:t>　　　</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u w:val="none"/>
        </w:rPr>
        <w:t>0556-599</w:t>
      </w:r>
      <w:r>
        <w:rPr>
          <w:rFonts w:hint="eastAsia" w:ascii="仿宋" w:hAnsi="仿宋" w:eastAsia="仿宋"/>
          <w:sz w:val="28"/>
          <w:szCs w:val="28"/>
          <w:highlight w:val="none"/>
          <w:u w:val="none"/>
          <w:lang w:val="en-US" w:eastAsia="zh-CN"/>
        </w:rPr>
        <w:t>9972</w:t>
      </w:r>
      <w:r>
        <w:rPr>
          <w:rFonts w:hint="eastAsia" w:ascii="仿宋" w:hAnsi="仿宋" w:eastAsia="仿宋"/>
          <w:sz w:val="28"/>
          <w:szCs w:val="28"/>
          <w:highlight w:val="none"/>
          <w:u w:val="none"/>
        </w:rPr>
        <w:t>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ascii="仿宋" w:hAnsi="仿宋" w:eastAsia="仿宋" w:cs="宋体"/>
          <w:bCs/>
          <w:sz w:val="28"/>
          <w:szCs w:val="28"/>
          <w:highlight w:val="none"/>
        </w:rPr>
      </w:pPr>
      <w:bookmarkStart w:id="45" w:name="_Toc35393808"/>
      <w:bookmarkStart w:id="46" w:name="_Toc28359021"/>
      <w:bookmarkStart w:id="47" w:name="_Toc35393639"/>
      <w:bookmarkStart w:id="48" w:name="_Toc28359098"/>
      <w:r>
        <w:rPr>
          <w:rFonts w:hint="eastAsia" w:ascii="仿宋" w:hAnsi="仿宋" w:eastAsia="仿宋" w:cs="宋体"/>
          <w:bCs/>
          <w:sz w:val="28"/>
          <w:szCs w:val="28"/>
          <w:highlight w:val="none"/>
        </w:rPr>
        <w:t>3.项目联系</w:t>
      </w:r>
      <w:r>
        <w:rPr>
          <w:rFonts w:ascii="仿宋" w:hAnsi="仿宋" w:eastAsia="仿宋" w:cs="宋体"/>
          <w:bCs/>
          <w:sz w:val="28"/>
          <w:szCs w:val="28"/>
          <w:highlight w:val="none"/>
        </w:rPr>
        <w:t>方式</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default" w:ascii="仿宋" w:hAnsi="仿宋" w:eastAsia="仿宋" w:cstheme="minorBidi"/>
          <w:sz w:val="28"/>
          <w:szCs w:val="28"/>
          <w:highlight w:val="none"/>
          <w:lang w:val="en-US" w:eastAsia="zh-CN"/>
        </w:rPr>
      </w:pPr>
      <w:r>
        <w:rPr>
          <w:rFonts w:hint="eastAsia" w:ascii="仿宋" w:hAnsi="仿宋" w:eastAsia="仿宋" w:cstheme="minorBidi"/>
          <w:sz w:val="28"/>
          <w:szCs w:val="28"/>
          <w:highlight w:val="none"/>
        </w:rPr>
        <w:t>项目联系人：</w:t>
      </w:r>
      <w:r>
        <w:rPr>
          <w:rFonts w:hint="eastAsia" w:ascii="仿宋" w:hAnsi="仿宋" w:eastAsia="仿宋" w:cs="仿宋"/>
          <w:color w:val="auto"/>
          <w:kern w:val="0"/>
          <w:sz w:val="28"/>
          <w:szCs w:val="28"/>
          <w:highlight w:val="none"/>
          <w:lang w:val="en-US" w:eastAsia="zh-CN"/>
        </w:rPr>
        <w:t>朱老师</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rPr>
        <w:t>电　　 话：</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sz w:val="28"/>
          <w:szCs w:val="28"/>
          <w:highlight w:val="none"/>
          <w:u w:val="none"/>
        </w:rPr>
      </w:pPr>
    </w:p>
    <w:p>
      <w:pPr>
        <w:ind w:firstLine="424" w:firstLineChars="202"/>
        <w:rPr>
          <w:szCs w:val="21"/>
          <w:highlight w:val="none"/>
        </w:rPr>
      </w:pPr>
      <w:r>
        <w:rPr>
          <w:szCs w:val="21"/>
          <w:highlight w:val="none"/>
        </w:rPr>
        <w:br w:type="page"/>
      </w:r>
    </w:p>
    <w:p>
      <w:pPr>
        <w:pStyle w:val="3"/>
        <w:spacing w:before="62" w:beforeLines="20" w:after="62" w:afterLines="20" w:line="480" w:lineRule="exact"/>
        <w:ind w:firstLine="0" w:firstLineChars="0"/>
        <w:jc w:val="center"/>
        <w:rPr>
          <w:rFonts w:ascii="Arial" w:hAnsi="Arial"/>
          <w:kern w:val="2"/>
          <w:sz w:val="32"/>
          <w:szCs w:val="32"/>
          <w:highlight w:val="none"/>
        </w:rPr>
      </w:pPr>
      <w:bookmarkStart w:id="49" w:name="_Toc13471"/>
      <w:bookmarkStart w:id="50" w:name="_Toc26069"/>
      <w:bookmarkStart w:id="51" w:name="_Toc54941329"/>
      <w:r>
        <w:rPr>
          <w:rFonts w:hint="eastAsia" w:ascii="Arial" w:hAnsi="Arial"/>
          <w:kern w:val="2"/>
          <w:sz w:val="32"/>
          <w:szCs w:val="32"/>
          <w:highlight w:val="none"/>
        </w:rPr>
        <w:t>第二章</w:t>
      </w:r>
      <w:r>
        <w:rPr>
          <w:rFonts w:ascii="Arial" w:hAnsi="Arial"/>
          <w:kern w:val="2"/>
          <w:sz w:val="32"/>
          <w:szCs w:val="32"/>
          <w:highlight w:val="none"/>
        </w:rPr>
        <w:t xml:space="preserve">   </w:t>
      </w:r>
      <w:r>
        <w:rPr>
          <w:rFonts w:hint="eastAsia" w:ascii="Arial" w:hAnsi="Arial"/>
          <w:kern w:val="2"/>
          <w:sz w:val="32"/>
          <w:szCs w:val="32"/>
          <w:highlight w:val="none"/>
        </w:rPr>
        <w:t>磋商须知</w:t>
      </w:r>
      <w:bookmarkEnd w:id="3"/>
      <w:bookmarkEnd w:id="49"/>
      <w:bookmarkEnd w:id="50"/>
      <w:bookmarkEnd w:id="51"/>
    </w:p>
    <w:p>
      <w:pPr>
        <w:pStyle w:val="4"/>
        <w:rPr>
          <w:rFonts w:cs="Tahoma"/>
          <w:bCs/>
          <w:kern w:val="0"/>
          <w:sz w:val="32"/>
          <w:szCs w:val="32"/>
          <w:highlight w:val="none"/>
        </w:rPr>
      </w:pPr>
      <w:bookmarkStart w:id="52" w:name="_Toc439316871"/>
      <w:bookmarkStart w:id="53" w:name="_Toc54941330"/>
      <w:bookmarkStart w:id="54" w:name="_Toc17862"/>
      <w:r>
        <w:rPr>
          <w:rFonts w:hint="eastAsia" w:cs="Tahoma"/>
          <w:bCs/>
          <w:kern w:val="0"/>
          <w:sz w:val="32"/>
          <w:szCs w:val="32"/>
          <w:highlight w:val="none"/>
        </w:rPr>
        <w:t>第一节</w:t>
      </w:r>
      <w:r>
        <w:rPr>
          <w:rFonts w:cs="Tahoma"/>
          <w:bCs/>
          <w:kern w:val="0"/>
          <w:sz w:val="32"/>
          <w:szCs w:val="32"/>
          <w:highlight w:val="none"/>
        </w:rPr>
        <w:t xml:space="preserve"> </w:t>
      </w:r>
      <w:r>
        <w:rPr>
          <w:rFonts w:hint="eastAsia" w:cs="Tahoma"/>
          <w:bCs/>
          <w:kern w:val="0"/>
          <w:sz w:val="32"/>
          <w:szCs w:val="32"/>
          <w:highlight w:val="none"/>
        </w:rPr>
        <w:t>磋商须知前附表</w:t>
      </w:r>
      <w:bookmarkEnd w:id="52"/>
      <w:bookmarkEnd w:id="53"/>
      <w:bookmarkEnd w:id="54"/>
    </w:p>
    <w:tbl>
      <w:tblPr>
        <w:tblStyle w:val="63"/>
        <w:tblW w:w="926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1865"/>
        <w:gridCol w:w="6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ind w:right="-358"/>
              <w:rPr>
                <w:rFonts w:ascii="宋体"/>
                <w:szCs w:val="21"/>
                <w:highlight w:val="none"/>
              </w:rPr>
            </w:pPr>
            <w:r>
              <w:rPr>
                <w:rFonts w:hint="eastAsia" w:ascii="宋体" w:hAnsi="宋体"/>
                <w:szCs w:val="21"/>
                <w:highlight w:val="none"/>
              </w:rPr>
              <w:t>序号</w:t>
            </w:r>
          </w:p>
        </w:tc>
        <w:tc>
          <w:tcPr>
            <w:tcW w:w="18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highlight w:val="none"/>
              </w:rPr>
            </w:pPr>
            <w:r>
              <w:rPr>
                <w:rFonts w:hint="eastAsia" w:ascii="宋体" w:hAnsi="宋体"/>
                <w:szCs w:val="21"/>
                <w:highlight w:val="none"/>
              </w:rPr>
              <w:t>内容</w:t>
            </w:r>
          </w:p>
        </w:tc>
        <w:tc>
          <w:tcPr>
            <w:tcW w:w="6740"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highlight w:val="none"/>
              </w:rPr>
            </w:pPr>
            <w:r>
              <w:rPr>
                <w:rFonts w:hint="eastAsia" w:ascii="宋体" w:hAnsi="宋体"/>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项目编号</w:t>
            </w:r>
          </w:p>
        </w:tc>
        <w:tc>
          <w:tcPr>
            <w:tcW w:w="6740"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highlight w:val="none"/>
                <w:lang w:val="en-US" w:eastAsia="zh-CN"/>
              </w:rPr>
            </w:pPr>
            <w:r>
              <w:rPr>
                <w:rFonts w:hint="eastAsia"/>
                <w:szCs w:val="21"/>
                <w:highlight w:val="none"/>
                <w:lang w:val="en-US" w:eastAsia="zh-CN"/>
              </w:rPr>
              <w:t>CG-AQ-2023-0294  FS34080120230156号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2</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项目名称</w:t>
            </w:r>
          </w:p>
        </w:tc>
        <w:tc>
          <w:tcPr>
            <w:tcW w:w="6740"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eastAsia="宋体"/>
                <w:szCs w:val="21"/>
                <w:highlight w:val="none"/>
                <w:lang w:eastAsia="zh-CN"/>
              </w:rPr>
            </w:pPr>
            <w:r>
              <w:rPr>
                <w:rFonts w:hint="eastAsia"/>
                <w:szCs w:val="21"/>
                <w:highlight w:val="none"/>
                <w:lang w:eastAsia="zh-CN"/>
              </w:rPr>
              <w:t>安庆职业技术学院篮球场和排球场改造项目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采购人</w:t>
            </w:r>
          </w:p>
        </w:tc>
        <w:tc>
          <w:tcPr>
            <w:tcW w:w="6740"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highlight w:val="none"/>
                <w:lang w:val="en-US" w:eastAsia="zh-CN"/>
              </w:rPr>
            </w:pPr>
            <w:r>
              <w:rPr>
                <w:rFonts w:hint="eastAsia" w:ascii="宋体" w:cs="宋体"/>
                <w:kern w:val="0"/>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4</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采购</w:t>
            </w:r>
            <w:r>
              <w:rPr>
                <w:rFonts w:hint="eastAsia" w:ascii="宋体" w:hAnsi="宋体"/>
                <w:szCs w:val="21"/>
                <w:highlight w:val="none"/>
                <w:lang w:val="en-US" w:eastAsia="zh-CN"/>
              </w:rPr>
              <w:t>代理</w:t>
            </w:r>
            <w:r>
              <w:rPr>
                <w:rFonts w:hint="eastAsia" w:ascii="宋体" w:hAnsi="宋体"/>
                <w:szCs w:val="21"/>
                <w:highlight w:val="none"/>
              </w:rPr>
              <w:t>机构</w:t>
            </w:r>
          </w:p>
        </w:tc>
        <w:tc>
          <w:tcPr>
            <w:tcW w:w="6740" w:type="dxa"/>
            <w:tcBorders>
              <w:top w:val="single" w:color="auto" w:sz="4" w:space="0"/>
              <w:left w:val="single" w:color="auto" w:sz="4" w:space="0"/>
              <w:bottom w:val="single" w:color="auto" w:sz="4" w:space="0"/>
            </w:tcBorders>
            <w:vAlign w:val="center"/>
          </w:tcPr>
          <w:p>
            <w:pPr>
              <w:spacing w:line="480" w:lineRule="exact"/>
              <w:rPr>
                <w:rFonts w:ascii="宋体" w:cs="宋体"/>
                <w:kern w:val="0"/>
                <w:szCs w:val="21"/>
                <w:highlight w:val="none"/>
              </w:rPr>
            </w:pPr>
            <w:r>
              <w:rPr>
                <w:rFonts w:hint="eastAsia" w:ascii="宋体" w:cs="宋体"/>
                <w:kern w:val="0"/>
                <w:szCs w:val="21"/>
                <w:highlight w:val="none"/>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highlight w:val="none"/>
              </w:rPr>
            </w:pPr>
            <w:r>
              <w:rPr>
                <w:rFonts w:ascii="宋体" w:hAnsi="宋体"/>
                <w:szCs w:val="21"/>
                <w:highlight w:val="none"/>
              </w:rPr>
              <w:t>5</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highlight w:val="none"/>
              </w:rPr>
            </w:pPr>
            <w:r>
              <w:rPr>
                <w:rFonts w:hint="eastAsia" w:ascii="宋体" w:hAnsi="宋体"/>
                <w:szCs w:val="21"/>
                <w:highlight w:val="none"/>
              </w:rPr>
              <w:t>是否专门面向中小企业采购</w:t>
            </w:r>
          </w:p>
        </w:tc>
        <w:tc>
          <w:tcPr>
            <w:tcW w:w="6740" w:type="dxa"/>
            <w:tcBorders>
              <w:top w:val="single" w:color="auto" w:sz="4" w:space="0"/>
              <w:left w:val="single" w:color="auto" w:sz="4" w:space="0"/>
              <w:bottom w:val="single" w:color="auto" w:sz="4" w:space="0"/>
            </w:tcBorders>
            <w:vAlign w:val="center"/>
          </w:tcPr>
          <w:p>
            <w:pPr>
              <w:spacing w:line="480" w:lineRule="exact"/>
              <w:rPr>
                <w:rFonts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 xml:space="preserve">是 </w:t>
            </w:r>
            <w:r>
              <w:rPr>
                <w:rFonts w:ascii="宋体" w:hAnsi="宋体" w:cs="宋体"/>
                <w:kern w:val="0"/>
                <w:szCs w:val="21"/>
                <w:highlight w:val="none"/>
              </w:rPr>
              <w:t xml:space="preserve">  </w:t>
            </w:r>
            <w:r>
              <w:rPr>
                <w:rFonts w:hint="eastAsia" w:ascii="宋体" w:hAnsi="宋体" w:cs="宋体"/>
                <w:kern w:val="0"/>
                <w:szCs w:val="21"/>
                <w:highlight w:val="none"/>
              </w:rPr>
              <w:sym w:font="Wingdings 2" w:char="F0A3"/>
            </w:r>
            <w:r>
              <w:rPr>
                <w:rFonts w:hint="eastAsia" w:ascii="宋体" w:hAnsi="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采购方式</w:t>
            </w:r>
          </w:p>
        </w:tc>
        <w:tc>
          <w:tcPr>
            <w:tcW w:w="6740" w:type="dxa"/>
            <w:tcBorders>
              <w:top w:val="single" w:color="auto" w:sz="4" w:space="0"/>
              <w:left w:val="single" w:color="auto" w:sz="4" w:space="0"/>
              <w:bottom w:val="single" w:color="auto" w:sz="4" w:space="0"/>
            </w:tcBorders>
            <w:vAlign w:val="center"/>
          </w:tcPr>
          <w:p>
            <w:pPr>
              <w:spacing w:line="480" w:lineRule="exact"/>
              <w:rPr>
                <w:szCs w:val="21"/>
                <w:highlight w:val="none"/>
              </w:rPr>
            </w:pPr>
            <w:r>
              <w:rPr>
                <w:rFonts w:hint="eastAsia"/>
                <w:szCs w:val="21"/>
                <w:highlight w:val="none"/>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7</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标段划分</w:t>
            </w:r>
          </w:p>
        </w:tc>
        <w:tc>
          <w:tcPr>
            <w:tcW w:w="6740" w:type="dxa"/>
            <w:tcBorders>
              <w:top w:val="single" w:color="auto" w:sz="4" w:space="0"/>
              <w:left w:val="single" w:color="auto" w:sz="4" w:space="0"/>
              <w:bottom w:val="single" w:color="auto" w:sz="4" w:space="0"/>
            </w:tcBorders>
            <w:vAlign w:val="center"/>
          </w:tcPr>
          <w:p>
            <w:pPr>
              <w:spacing w:line="480" w:lineRule="exact"/>
              <w:rPr>
                <w:szCs w:val="21"/>
                <w:highlight w:val="none"/>
              </w:rPr>
            </w:pPr>
            <w:r>
              <w:rPr>
                <w:rFonts w:hint="eastAsia"/>
                <w:szCs w:val="21"/>
                <w:highlight w:val="none"/>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8</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资金来源</w:t>
            </w:r>
          </w:p>
        </w:tc>
        <w:tc>
          <w:tcPr>
            <w:tcW w:w="6740"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eastAsia"/>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tcBorders>
              <w:top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9</w:t>
            </w:r>
          </w:p>
        </w:tc>
        <w:tc>
          <w:tcPr>
            <w:tcW w:w="1865" w:type="dxa"/>
            <w:tcBorders>
              <w:top w:val="single" w:color="auto" w:sz="4" w:space="0"/>
              <w:left w:val="single" w:color="auto" w:sz="4" w:space="0"/>
              <w:right w:val="single" w:color="auto" w:sz="4" w:space="0"/>
            </w:tcBorders>
            <w:vAlign w:val="center"/>
          </w:tcPr>
          <w:p>
            <w:pPr>
              <w:spacing w:line="480" w:lineRule="exact"/>
              <w:jc w:val="center"/>
              <w:rPr>
                <w:rFonts w:hint="eastAsia"/>
                <w:szCs w:val="21"/>
                <w:highlight w:val="none"/>
                <w:lang w:val="en-US" w:eastAsia="zh-CN"/>
              </w:rPr>
            </w:pPr>
            <w:r>
              <w:rPr>
                <w:rFonts w:hint="eastAsia"/>
                <w:szCs w:val="21"/>
                <w:highlight w:val="none"/>
                <w:lang w:val="en-US" w:eastAsia="zh-CN"/>
              </w:rPr>
              <w:t>最高磋商限价</w:t>
            </w:r>
          </w:p>
        </w:tc>
        <w:tc>
          <w:tcPr>
            <w:tcW w:w="6740" w:type="dxa"/>
            <w:tcBorders>
              <w:top w:val="single" w:color="auto" w:sz="4" w:space="0"/>
              <w:left w:val="single" w:color="auto" w:sz="4" w:space="0"/>
              <w:bottom w:val="single" w:color="auto" w:sz="4" w:space="0"/>
            </w:tcBorders>
            <w:vAlign w:val="center"/>
          </w:tcPr>
          <w:p>
            <w:pPr>
              <w:spacing w:line="480" w:lineRule="exact"/>
              <w:jc w:val="left"/>
              <w:rPr>
                <w:rFonts w:hint="default"/>
                <w:szCs w:val="21"/>
                <w:highlight w:val="none"/>
                <w:lang w:val="en-US" w:eastAsia="zh-CN"/>
              </w:rPr>
            </w:pPr>
            <w:r>
              <w:rPr>
                <w:rFonts w:hint="eastAsia"/>
                <w:szCs w:val="21"/>
                <w:highlight w:val="none"/>
                <w:lang w:val="en-US" w:eastAsia="zh-CN"/>
              </w:rPr>
              <w:t>669175.48元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10</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项目地点</w:t>
            </w:r>
          </w:p>
        </w:tc>
        <w:tc>
          <w:tcPr>
            <w:tcW w:w="6740"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highlight w:val="none"/>
                <w:lang w:val="en-US" w:eastAsia="zh-CN"/>
              </w:rPr>
            </w:pPr>
            <w:r>
              <w:rPr>
                <w:rFonts w:hint="eastAsia"/>
                <w:szCs w:val="21"/>
                <w:highlight w:val="none"/>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eastAsia="宋体"/>
                <w:szCs w:val="21"/>
                <w:highlight w:val="none"/>
                <w:lang w:eastAsia="zh-CN"/>
              </w:rPr>
            </w:pPr>
            <w:r>
              <w:rPr>
                <w:rFonts w:hint="eastAsia"/>
                <w:szCs w:val="21"/>
                <w:highlight w:val="none"/>
                <w:lang w:eastAsia="zh-CN"/>
              </w:rPr>
              <w:t>工期</w:t>
            </w:r>
          </w:p>
        </w:tc>
        <w:tc>
          <w:tcPr>
            <w:tcW w:w="6740"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eastAsia"/>
                <w:szCs w:val="21"/>
                <w:highlight w:val="none"/>
                <w:lang w:val="en-US" w:eastAsia="zh-CN"/>
              </w:rPr>
              <w:t>50日历天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12</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资格条件</w:t>
            </w:r>
          </w:p>
        </w:tc>
        <w:tc>
          <w:tcPr>
            <w:tcW w:w="6740" w:type="dxa"/>
            <w:tcBorders>
              <w:top w:val="single" w:color="auto" w:sz="4" w:space="0"/>
              <w:left w:val="single" w:color="auto" w:sz="4" w:space="0"/>
              <w:bottom w:val="single" w:color="auto" w:sz="4" w:space="0"/>
            </w:tcBorders>
            <w:vAlign w:val="center"/>
          </w:tcPr>
          <w:p>
            <w:pPr>
              <w:spacing w:line="420" w:lineRule="exact"/>
              <w:rPr>
                <w:rFonts w:hint="default" w:ascii="宋体" w:eastAsia="宋体"/>
                <w:szCs w:val="21"/>
                <w:highlight w:val="none"/>
                <w:lang w:val="en-US" w:eastAsia="zh-CN"/>
              </w:rPr>
            </w:pPr>
            <w:r>
              <w:rPr>
                <w:rFonts w:hint="eastAsia" w:ascii="宋体"/>
                <w:szCs w:val="21"/>
                <w:highlight w:val="none"/>
                <w:lang w:val="en-US" w:eastAsia="zh-CN"/>
              </w:rPr>
              <w:t>详见竞争性磋商公告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资格审查方式</w:t>
            </w:r>
          </w:p>
        </w:tc>
        <w:tc>
          <w:tcPr>
            <w:tcW w:w="6740"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14</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磋商有效期</w:t>
            </w:r>
          </w:p>
        </w:tc>
        <w:tc>
          <w:tcPr>
            <w:tcW w:w="6740"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highlight w:val="none"/>
              </w:rPr>
            </w:pPr>
            <w:r>
              <w:rPr>
                <w:rFonts w:hint="eastAsia" w:ascii="宋体" w:hAnsi="宋体"/>
                <w:szCs w:val="21"/>
                <w:highlight w:val="none"/>
                <w:u w:val="single"/>
              </w:rPr>
              <w:t>9</w:t>
            </w:r>
            <w:r>
              <w:rPr>
                <w:rFonts w:ascii="宋体" w:hAnsi="宋体"/>
                <w:szCs w:val="21"/>
                <w:highlight w:val="none"/>
                <w:u w:val="single"/>
              </w:rPr>
              <w:t>0日历天</w:t>
            </w:r>
            <w:r>
              <w:rPr>
                <w:rFonts w:hint="eastAsia" w:ascii="宋体" w:hAnsi="宋体"/>
                <w:szCs w:val="21"/>
                <w:highlight w:val="none"/>
                <w:u w:val="singl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15</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szCs w:val="21"/>
                <w:highlight w:val="none"/>
              </w:rPr>
            </w:pPr>
            <w:r>
              <w:rPr>
                <w:rFonts w:hint="eastAsia" w:ascii="宋体" w:hAnsi="宋体" w:eastAsia="宋体" w:cs="宋体"/>
                <w:color w:val="auto"/>
                <w:highlight w:val="none"/>
              </w:rPr>
              <w:t>质量标准要求</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rPr>
                <w:rFonts w:hint="eastAsia" w:ascii="宋体" w:hAnsi="宋体"/>
                <w:szCs w:val="21"/>
                <w:highlight w:val="none"/>
                <w:u w:val="single"/>
              </w:rPr>
            </w:pPr>
            <w:r>
              <w:rPr>
                <w:rFonts w:hint="eastAsia" w:ascii="宋体" w:hAnsi="宋体" w:eastAsia="宋体" w:cs="宋体"/>
                <w:color w:val="auto"/>
                <w:highlight w:val="none"/>
              </w:rPr>
              <w:t>达到国家相关施工验收规范合格标准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磋商保证金</w:t>
            </w:r>
          </w:p>
        </w:tc>
        <w:tc>
          <w:tcPr>
            <w:tcW w:w="6740" w:type="dxa"/>
            <w:tcBorders>
              <w:top w:val="single" w:color="auto" w:sz="4" w:space="0"/>
              <w:left w:val="single" w:color="auto" w:sz="4" w:space="0"/>
              <w:bottom w:val="single" w:color="auto" w:sz="4" w:space="0"/>
            </w:tcBorders>
            <w:vAlign w:val="center"/>
          </w:tcPr>
          <w:p>
            <w:pPr>
              <w:spacing w:line="420" w:lineRule="exact"/>
              <w:rPr>
                <w:rFonts w:ascii="宋体"/>
                <w:szCs w:val="21"/>
                <w:highlight w:val="none"/>
              </w:rPr>
            </w:pPr>
            <w:r>
              <w:rPr>
                <w:rFonts w:hint="eastAsia" w:ascii="宋体"/>
                <w:szCs w:val="21"/>
                <w:highlight w:val="none"/>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ascii="宋体" w:hAnsi="宋体"/>
                <w:szCs w:val="21"/>
                <w:highlight w:val="none"/>
              </w:rPr>
              <w:t>1</w:t>
            </w:r>
            <w:r>
              <w:rPr>
                <w:rFonts w:hint="eastAsia" w:ascii="宋体" w:hAnsi="宋体"/>
                <w:szCs w:val="21"/>
                <w:highlight w:val="none"/>
                <w:lang w:val="en-US" w:eastAsia="zh-CN"/>
              </w:rPr>
              <w:t>7</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磋商响应文件要求</w:t>
            </w:r>
          </w:p>
        </w:tc>
        <w:tc>
          <w:tcPr>
            <w:tcW w:w="6740" w:type="dxa"/>
            <w:tcBorders>
              <w:top w:val="single" w:color="auto" w:sz="4" w:space="0"/>
              <w:left w:val="single" w:color="auto" w:sz="4" w:space="0"/>
              <w:bottom w:val="single" w:color="auto" w:sz="4" w:space="0"/>
            </w:tcBorders>
            <w:vAlign w:val="center"/>
          </w:tcPr>
          <w:p>
            <w:pPr>
              <w:spacing w:line="440" w:lineRule="exact"/>
              <w:rPr>
                <w:rFonts w:ascii="宋体" w:hAnsi="宋体" w:cs="宋体"/>
                <w:color w:val="000000"/>
                <w:kern w:val="0"/>
                <w:szCs w:val="21"/>
                <w:highlight w:val="none"/>
              </w:rPr>
            </w:pPr>
            <w:r>
              <w:rPr>
                <w:rFonts w:hint="eastAsia" w:ascii="宋体" w:hAnsi="宋体" w:cs="宋体"/>
                <w:b/>
                <w:bCs/>
                <w:color w:val="000000"/>
                <w:szCs w:val="21"/>
                <w:highlight w:val="none"/>
              </w:rPr>
              <w:t>加密电子磋商响应文件（.AQTF格式）</w:t>
            </w:r>
            <w:r>
              <w:rPr>
                <w:rFonts w:hint="eastAsia" w:ascii="宋体" w:hAnsi="宋体" w:cs="宋体"/>
                <w:b/>
                <w:bCs/>
                <w:color w:val="000000"/>
                <w:kern w:val="0"/>
                <w:szCs w:val="21"/>
                <w:highlight w:val="none"/>
              </w:rPr>
              <w:t>须在提交响应文件截止时间前登陆</w:t>
            </w:r>
            <w:r>
              <w:rPr>
                <w:rFonts w:hint="eastAsia" w:ascii="宋体" w:hAnsi="宋体" w:cs="宋体"/>
                <w:b/>
                <w:bCs/>
                <w:color w:val="000000"/>
                <w:szCs w:val="21"/>
                <w:highlight w:val="none"/>
              </w:rPr>
              <w:t>安庆市公共资源交易服务网</w:t>
            </w:r>
            <w:r>
              <w:rPr>
                <w:rFonts w:hint="eastAsia" w:ascii="宋体" w:hAnsi="宋体" w:cs="宋体"/>
                <w:b/>
                <w:color w:val="000000"/>
                <w:kern w:val="0"/>
                <w:szCs w:val="21"/>
                <w:highlight w:val="none"/>
              </w:rPr>
              <w:t>上传</w:t>
            </w:r>
            <w:r>
              <w:rPr>
                <w:rFonts w:hint="eastAsia" w:ascii="宋体" w:hAnsi="宋体" w:cs="宋体"/>
                <w:color w:val="000000"/>
                <w:kern w:val="0"/>
                <w:szCs w:val="21"/>
                <w:highlight w:val="none"/>
              </w:rPr>
              <w:t>。</w:t>
            </w:r>
            <w:r>
              <w:rPr>
                <w:rFonts w:hint="eastAsia" w:ascii="宋体" w:hAnsi="宋体" w:cs="宋体"/>
                <w:b/>
                <w:bCs/>
                <w:color w:val="000000"/>
                <w:szCs w:val="21"/>
                <w:highlight w:val="none"/>
              </w:rPr>
              <w:t>制作方法见本附表第</w:t>
            </w:r>
            <w:r>
              <w:rPr>
                <w:rFonts w:hint="eastAsia" w:ascii="宋体" w:hAnsi="宋体" w:cs="宋体"/>
                <w:b/>
                <w:bCs/>
                <w:color w:val="auto"/>
                <w:szCs w:val="21"/>
                <w:highlight w:val="none"/>
                <w:lang w:val="en-US" w:eastAsia="zh-CN"/>
              </w:rPr>
              <w:t>37</w:t>
            </w:r>
            <w:r>
              <w:rPr>
                <w:rFonts w:hint="eastAsia" w:ascii="宋体" w:hAnsi="宋体" w:cs="宋体"/>
                <w:b/>
                <w:bCs/>
                <w:color w:val="000000"/>
                <w:szCs w:val="21"/>
                <w:highlight w:val="none"/>
              </w:rPr>
              <w:t>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8</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提交响应文件</w:t>
            </w:r>
          </w:p>
        </w:tc>
        <w:tc>
          <w:tcPr>
            <w:tcW w:w="6740" w:type="dxa"/>
            <w:tcBorders>
              <w:top w:val="single" w:color="auto" w:sz="4" w:space="0"/>
              <w:left w:val="single" w:color="auto" w:sz="4" w:space="0"/>
              <w:bottom w:val="single" w:color="auto" w:sz="4" w:space="0"/>
            </w:tcBorders>
            <w:vAlign w:val="center"/>
          </w:tcPr>
          <w:p>
            <w:pPr>
              <w:pStyle w:val="20"/>
              <w:widowControl/>
              <w:spacing w:line="420" w:lineRule="exact"/>
              <w:jc w:val="both"/>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1、提交响应文件截止时间：</w:t>
            </w:r>
            <w:r>
              <w:rPr>
                <w:rFonts w:hint="eastAsia" w:ascii="宋体" w:hAnsi="宋体" w:cs="宋体"/>
                <w:color w:val="000000"/>
                <w:sz w:val="21"/>
                <w:szCs w:val="21"/>
                <w:highlight w:val="none"/>
                <w:lang w:eastAsia="zh-CN"/>
              </w:rPr>
              <w:t>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 xml:space="preserve"> 5</w:t>
            </w:r>
            <w:r>
              <w:rPr>
                <w:rFonts w:hint="eastAsia" w:ascii="宋体" w:hAnsi="宋体" w:cs="宋体"/>
                <w:color w:val="000000"/>
                <w:sz w:val="21"/>
                <w:szCs w:val="21"/>
                <w:highlight w:val="none"/>
                <w:lang w:eastAsia="zh-CN"/>
              </w:rPr>
              <w:t xml:space="preserve">月 </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lang w:eastAsia="zh-CN"/>
              </w:rPr>
              <w:t xml:space="preserve"> 日 </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lang w:eastAsia="zh-CN"/>
              </w:rPr>
              <w:t xml:space="preserve">点 </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 xml:space="preserve"> 分</w:t>
            </w:r>
          </w:p>
          <w:p>
            <w:pPr>
              <w:pStyle w:val="20"/>
              <w:widowControl/>
              <w:spacing w:line="480" w:lineRule="exact"/>
              <w:jc w:val="both"/>
              <w:rPr>
                <w:rFonts w:ascii="宋体"/>
                <w:szCs w:val="21"/>
                <w:highlight w:val="none"/>
              </w:rPr>
            </w:pPr>
            <w:r>
              <w:rPr>
                <w:rFonts w:hint="eastAsia" w:ascii="宋体" w:hAnsi="宋体" w:cs="宋体"/>
                <w:color w:val="000000"/>
                <w:sz w:val="21"/>
                <w:szCs w:val="21"/>
                <w:highlight w:val="none"/>
              </w:rPr>
              <w:t>2、供应商须在提交响应文件截止时间前，在安庆市公共资源电子交易平台提交加密后的电子磋商响应文件。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szCs w:val="21"/>
                <w:highlight w:val="none"/>
                <w:lang w:eastAsia="zh-CN"/>
              </w:rPr>
            </w:pPr>
            <w:r>
              <w:rPr>
                <w:rFonts w:ascii="宋体" w:hAnsi="宋体"/>
                <w:szCs w:val="21"/>
                <w:highlight w:val="none"/>
              </w:rPr>
              <w:t>1</w:t>
            </w:r>
            <w:r>
              <w:rPr>
                <w:rFonts w:hint="eastAsia" w:ascii="宋体" w:hAnsi="宋体"/>
                <w:szCs w:val="21"/>
                <w:highlight w:val="none"/>
                <w:lang w:val="en-US" w:eastAsia="zh-CN"/>
              </w:rPr>
              <w:t>9</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highlight w:val="none"/>
              </w:rPr>
            </w:pPr>
            <w:r>
              <w:rPr>
                <w:rFonts w:hint="eastAsia" w:ascii="宋体" w:hAnsi="宋体"/>
                <w:szCs w:val="21"/>
                <w:highlight w:val="none"/>
              </w:rPr>
              <w:t>媒介发布</w:t>
            </w:r>
          </w:p>
        </w:tc>
        <w:tc>
          <w:tcPr>
            <w:tcW w:w="6740" w:type="dxa"/>
            <w:tcBorders>
              <w:top w:val="single" w:color="auto" w:sz="4" w:space="0"/>
              <w:left w:val="single" w:color="auto" w:sz="4" w:space="0"/>
              <w:bottom w:val="single" w:color="auto" w:sz="4" w:space="0"/>
            </w:tcBorders>
            <w:vAlign w:val="center"/>
          </w:tcPr>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本次</w:t>
            </w:r>
            <w:r>
              <w:rPr>
                <w:rFonts w:hint="eastAsia" w:ascii="宋体" w:hAnsi="宋体" w:cs="宋体"/>
                <w:color w:val="auto"/>
                <w:szCs w:val="21"/>
                <w:highlight w:val="none"/>
                <w:lang w:eastAsia="zh-CN"/>
              </w:rPr>
              <w:t>竞争性</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同时在</w:t>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安庆市公共资源交易服务网（</w:t>
            </w:r>
            <w:r>
              <w:rPr>
                <w:rFonts w:hint="default"/>
                <w:color w:val="auto"/>
                <w:highlight w:val="none"/>
              </w:rPr>
              <w:fldChar w:fldCharType="begin"/>
            </w:r>
            <w:r>
              <w:rPr>
                <w:rFonts w:hint="default"/>
                <w:color w:val="auto"/>
                <w:highlight w:val="none"/>
              </w:rPr>
              <w:instrText xml:space="preserve"> HYPERLINK "http://www.aqzbcg.org:1102/）、" </w:instrText>
            </w:r>
            <w:r>
              <w:rPr>
                <w:rFonts w:hint="default"/>
                <w:color w:val="auto"/>
                <w:highlight w:val="none"/>
              </w:rPr>
              <w:fldChar w:fldCharType="separate"/>
            </w:r>
            <w:r>
              <w:rPr>
                <w:rStyle w:val="76"/>
                <w:rFonts w:hint="eastAsia" w:ascii="宋体" w:hAnsi="宋体" w:cs="宋体"/>
                <w:color w:val="auto"/>
                <w:szCs w:val="21"/>
                <w:highlight w:val="none"/>
              </w:rPr>
              <w:t>http://aqggzy.anqing.gov.cn/）、</w:t>
            </w:r>
            <w:r>
              <w:rPr>
                <w:rStyle w:val="76"/>
                <w:rFonts w:hint="eastAsia" w:ascii="宋体" w:hAnsi="宋体" w:cs="宋体"/>
                <w:color w:val="auto"/>
                <w:szCs w:val="21"/>
                <w:highlight w:val="none"/>
              </w:rPr>
              <w:fldChar w:fldCharType="end"/>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安庆市政府信息公开网（</w:t>
            </w:r>
            <w:r>
              <w:rPr>
                <w:rFonts w:hint="default"/>
                <w:color w:val="auto"/>
                <w:highlight w:val="none"/>
              </w:rPr>
              <w:fldChar w:fldCharType="begin"/>
            </w:r>
            <w:r>
              <w:rPr>
                <w:rFonts w:hint="default"/>
                <w:color w:val="auto"/>
                <w:highlight w:val="none"/>
              </w:rPr>
              <w:instrText xml:space="preserve"> HYPERLINK "http://aqxxgk.anqing.gov.cn/）、" </w:instrText>
            </w:r>
            <w:r>
              <w:rPr>
                <w:rFonts w:hint="default"/>
                <w:color w:val="auto"/>
                <w:highlight w:val="none"/>
              </w:rPr>
              <w:fldChar w:fldCharType="separate"/>
            </w:r>
            <w:r>
              <w:rPr>
                <w:rStyle w:val="76"/>
                <w:rFonts w:hint="eastAsia" w:ascii="宋体" w:hAnsi="宋体" w:cs="宋体"/>
                <w:color w:val="auto"/>
                <w:szCs w:val="21"/>
                <w:highlight w:val="none"/>
              </w:rPr>
              <w:t>http://aqxxgk.anqing.gov.cn/）、</w:t>
            </w:r>
            <w:r>
              <w:rPr>
                <w:rStyle w:val="76"/>
                <w:rFonts w:hint="eastAsia" w:ascii="宋体" w:hAnsi="宋体" w:cs="宋体"/>
                <w:color w:val="auto"/>
                <w:szCs w:val="21"/>
                <w:highlight w:val="none"/>
              </w:rPr>
              <w:fldChar w:fldCharType="end"/>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安徽省政府采购网（</w:t>
            </w:r>
            <w:r>
              <w:rPr>
                <w:rFonts w:hint="default"/>
                <w:color w:val="auto"/>
                <w:highlight w:val="none"/>
              </w:rPr>
              <w:fldChar w:fldCharType="begin"/>
            </w:r>
            <w:r>
              <w:rPr>
                <w:rFonts w:hint="default"/>
                <w:color w:val="auto"/>
                <w:highlight w:val="none"/>
              </w:rPr>
              <w:instrText xml:space="preserve"> HYPERLINK "http://www.ahzfcg.gov.cn/）、" </w:instrText>
            </w:r>
            <w:r>
              <w:rPr>
                <w:rFonts w:hint="default"/>
                <w:color w:val="auto"/>
                <w:highlight w:val="none"/>
              </w:rPr>
              <w:fldChar w:fldCharType="separate"/>
            </w:r>
            <w:r>
              <w:rPr>
                <w:rStyle w:val="76"/>
                <w:rFonts w:hint="eastAsia" w:ascii="宋体" w:hAnsi="宋体" w:cs="宋体"/>
                <w:color w:val="auto"/>
                <w:szCs w:val="21"/>
                <w:highlight w:val="none"/>
              </w:rPr>
              <w:t>http://www.ccgp-anhui.gov.cn/）、</w:t>
            </w:r>
            <w:r>
              <w:rPr>
                <w:rStyle w:val="76"/>
                <w:rFonts w:hint="eastAsia" w:ascii="宋体" w:hAnsi="宋体" w:cs="宋体"/>
                <w:color w:val="auto"/>
                <w:szCs w:val="21"/>
                <w:highlight w:val="none"/>
              </w:rPr>
              <w:fldChar w:fldCharType="end"/>
            </w:r>
          </w:p>
          <w:p>
            <w:pPr>
              <w:autoSpaceDE w:val="0"/>
              <w:autoSpaceDN w:val="0"/>
              <w:adjustRightInd w:val="0"/>
              <w:spacing w:line="380" w:lineRule="exact"/>
              <w:jc w:val="left"/>
              <w:rPr>
                <w:rFonts w:hint="default" w:ascii="宋体" w:hAnsi="宋体" w:eastAsia="宋体"/>
                <w:szCs w:val="21"/>
                <w:highlight w:val="none"/>
                <w:lang w:val="en-US" w:eastAsia="zh-CN"/>
              </w:rPr>
            </w:pPr>
            <w:r>
              <w:rPr>
                <w:rFonts w:hint="eastAsia" w:ascii="宋体" w:hAnsi="宋体" w:cs="宋体"/>
                <w:color w:val="auto"/>
                <w:szCs w:val="21"/>
                <w:highlight w:val="none"/>
              </w:rPr>
              <w:t>安徽省招标投标信息网（</w:t>
            </w:r>
            <w:r>
              <w:rPr>
                <w:rFonts w:hint="default"/>
                <w:color w:val="auto"/>
                <w:highlight w:val="none"/>
              </w:rPr>
              <w:fldChar w:fldCharType="begin"/>
            </w:r>
            <w:r>
              <w:rPr>
                <w:rFonts w:hint="default"/>
                <w:color w:val="auto"/>
                <w:highlight w:val="none"/>
              </w:rPr>
              <w:instrText xml:space="preserve"> HYPERLINK "http://www.ahtba.org.cn/" </w:instrText>
            </w:r>
            <w:r>
              <w:rPr>
                <w:rFonts w:hint="default"/>
                <w:color w:val="auto"/>
                <w:highlight w:val="none"/>
              </w:rPr>
              <w:fldChar w:fldCharType="separate"/>
            </w:r>
            <w:r>
              <w:rPr>
                <w:rStyle w:val="76"/>
                <w:rFonts w:hint="eastAsia" w:ascii="宋体" w:hAnsi="宋体" w:cs="宋体"/>
                <w:color w:val="auto"/>
                <w:szCs w:val="21"/>
                <w:highlight w:val="none"/>
              </w:rPr>
              <w:t>http://www.ahtba.org.cn/</w:t>
            </w:r>
            <w:r>
              <w:rPr>
                <w:rStyle w:val="76"/>
                <w:rFonts w:hint="eastAsia" w:ascii="宋体" w:hAnsi="宋体" w:cs="宋体"/>
                <w:color w:val="auto"/>
                <w:szCs w:val="21"/>
                <w:highlight w:val="none"/>
              </w:rPr>
              <w:fldChar w:fldCharType="end"/>
            </w:r>
            <w:r>
              <w:rPr>
                <w:rFonts w:hint="eastAsia" w:ascii="宋体" w:hAnsi="宋体" w:cs="宋体"/>
                <w:color w:val="auto"/>
                <w:szCs w:val="21"/>
                <w:highlight w:val="none"/>
              </w:rPr>
              <w:t>）上发布</w:t>
            </w:r>
            <w:r>
              <w:rPr>
                <w:rFonts w:hint="eastAsia" w:ascii="宋体" w:hAnsi="宋体" w:cs="宋体"/>
                <w:color w:val="auto"/>
                <w:szCs w:val="21"/>
                <w:highlight w:val="none"/>
                <w:lang w:val="en-US" w:eastAsia="zh-CN"/>
              </w:rPr>
              <w:t>和推送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hAnsi="宋体"/>
                <w:szCs w:val="21"/>
                <w:highlight w:val="none"/>
                <w:lang w:val="en-US" w:eastAsia="zh-CN"/>
              </w:rPr>
              <w:t>20</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磋商时间和地点</w:t>
            </w:r>
          </w:p>
        </w:tc>
        <w:tc>
          <w:tcPr>
            <w:tcW w:w="6740" w:type="dxa"/>
            <w:tcBorders>
              <w:top w:val="single" w:color="auto" w:sz="4" w:space="0"/>
              <w:left w:val="single" w:color="auto" w:sz="4" w:space="0"/>
              <w:bottom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时间:</w:t>
            </w:r>
            <w:r>
              <w:rPr>
                <w:rFonts w:hint="eastAsia" w:ascii="宋体" w:hAnsi="宋体" w:cs="宋体"/>
                <w:color w:val="000000"/>
                <w:sz w:val="21"/>
                <w:szCs w:val="21"/>
                <w:highlight w:val="none"/>
                <w:lang w:eastAsia="zh-CN"/>
              </w:rPr>
              <w:t>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 xml:space="preserve"> 5</w:t>
            </w:r>
            <w:r>
              <w:rPr>
                <w:rFonts w:hint="eastAsia" w:ascii="宋体" w:hAnsi="宋体" w:cs="宋体"/>
                <w:color w:val="000000"/>
                <w:sz w:val="21"/>
                <w:szCs w:val="21"/>
                <w:highlight w:val="none"/>
                <w:lang w:eastAsia="zh-CN"/>
              </w:rPr>
              <w:t xml:space="preserve">月 </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lang w:eastAsia="zh-CN"/>
              </w:rPr>
              <w:t xml:space="preserve"> 日 </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lang w:eastAsia="zh-CN"/>
              </w:rPr>
              <w:t xml:space="preserve">点 </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 xml:space="preserve"> 分</w:t>
            </w:r>
          </w:p>
          <w:p>
            <w:pPr>
              <w:spacing w:line="480" w:lineRule="exact"/>
              <w:rPr>
                <w:rFonts w:ascii="宋体"/>
                <w:szCs w:val="21"/>
                <w:highlight w:val="none"/>
              </w:rPr>
            </w:pPr>
            <w:r>
              <w:rPr>
                <w:rFonts w:hint="eastAsia" w:ascii="宋体" w:hAnsi="宋体" w:cs="宋体"/>
                <w:color w:val="000000"/>
                <w:szCs w:val="21"/>
                <w:highlight w:val="none"/>
              </w:rPr>
              <w:t>地点: 安庆市公共资源</w:t>
            </w:r>
            <w:r>
              <w:rPr>
                <w:rFonts w:hint="eastAsia" w:ascii="宋体" w:hAnsi="宋体" w:cs="宋体"/>
                <w:color w:val="000000"/>
                <w:szCs w:val="21"/>
                <w:highlight w:val="none"/>
                <w:lang w:val="en-US" w:eastAsia="zh-CN"/>
              </w:rPr>
              <w:t>电子</w:t>
            </w:r>
            <w:r>
              <w:rPr>
                <w:rFonts w:hint="eastAsia" w:ascii="宋体" w:hAnsi="宋体" w:cs="宋体"/>
                <w:color w:val="000000"/>
                <w:szCs w:val="21"/>
                <w:highlight w:val="none"/>
              </w:rPr>
              <w:t>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highlight w:val="none"/>
                <w:lang w:eastAsia="zh-CN"/>
              </w:rPr>
            </w:pPr>
            <w:r>
              <w:rPr>
                <w:rFonts w:hint="eastAsia" w:ascii="宋体" w:hAnsi="宋体"/>
                <w:szCs w:val="21"/>
                <w:highlight w:val="none"/>
              </w:rPr>
              <w:t>2</w:t>
            </w:r>
            <w:r>
              <w:rPr>
                <w:rFonts w:hint="eastAsia" w:ascii="宋体" w:hAnsi="宋体"/>
                <w:szCs w:val="21"/>
                <w:highlight w:val="none"/>
                <w:lang w:val="en-US" w:eastAsia="zh-CN"/>
              </w:rPr>
              <w:t>1</w:t>
            </w:r>
          </w:p>
        </w:tc>
        <w:tc>
          <w:tcPr>
            <w:tcW w:w="186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highlight w:val="none"/>
              </w:rPr>
            </w:pPr>
            <w:r>
              <w:rPr>
                <w:rFonts w:hint="eastAsia" w:ascii="宋体" w:hAnsi="宋体"/>
                <w:szCs w:val="21"/>
                <w:highlight w:val="none"/>
              </w:rPr>
              <w:t>评审方法</w:t>
            </w:r>
          </w:p>
        </w:tc>
        <w:tc>
          <w:tcPr>
            <w:tcW w:w="6740"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rPr>
                <w:rFonts w:hint="eastAsia" w:ascii="宋体" w:hAnsi="宋体"/>
                <w:szCs w:val="21"/>
                <w:highlight w:val="none"/>
              </w:rPr>
            </w:pPr>
            <w:r>
              <w:rPr>
                <w:rFonts w:hint="eastAsia" w:ascii="宋体" w:hAnsi="宋体" w:cs="宋体"/>
                <w:color w:val="auto"/>
                <w:szCs w:val="21"/>
                <w:highlight w:val="none"/>
              </w:rPr>
              <w:t>本项目采购标的所属行业</w:t>
            </w:r>
          </w:p>
        </w:tc>
        <w:tc>
          <w:tcPr>
            <w:tcW w:w="6740"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20" w:lineRule="exact"/>
              <w:ind w:left="0" w:leftChars="0" w:right="0" w:rightChars="0"/>
              <w:rPr>
                <w:rFonts w:hint="eastAsia" w:ascii="宋体" w:hAnsi="宋体"/>
                <w:szCs w:val="21"/>
                <w:highlight w:val="none"/>
              </w:rPr>
            </w:pPr>
            <w:r>
              <w:rPr>
                <w:rFonts w:hint="eastAsia" w:ascii="宋体" w:hAnsi="宋体" w:cs="宋体"/>
                <w:b/>
                <w:color w:val="auto"/>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szCs w:val="21"/>
                <w:highlight w:val="none"/>
                <w:lang w:eastAsia="zh-CN"/>
              </w:rPr>
            </w:pPr>
            <w:r>
              <w:rPr>
                <w:rFonts w:ascii="宋体" w:hAnsi="宋体"/>
                <w:szCs w:val="21"/>
                <w:highlight w:val="none"/>
              </w:rPr>
              <w:t>2</w:t>
            </w:r>
            <w:r>
              <w:rPr>
                <w:rFonts w:hint="eastAsia" w:ascii="宋体" w:hAnsi="宋体"/>
                <w:szCs w:val="21"/>
                <w:highlight w:val="none"/>
                <w:lang w:val="en-US" w:eastAsia="zh-CN"/>
              </w:rPr>
              <w:t>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Cs w:val="21"/>
                <w:highlight w:val="none"/>
              </w:rPr>
            </w:pPr>
            <w:r>
              <w:rPr>
                <w:rFonts w:hint="eastAsia" w:ascii="宋体" w:hAnsi="宋体"/>
                <w:szCs w:val="21"/>
                <w:highlight w:val="none"/>
              </w:rPr>
              <w:t>响应报价扣除</w:t>
            </w:r>
            <w:r>
              <w:rPr>
                <w:rFonts w:hint="eastAsia" w:ascii="宋体" w:hAnsi="宋体"/>
                <w:i/>
                <w:iCs/>
                <w:szCs w:val="21"/>
                <w:highlight w:val="none"/>
              </w:rPr>
              <w:t>（</w:t>
            </w:r>
            <w:r>
              <w:rPr>
                <w:rFonts w:hint="eastAsia" w:ascii="宋体" w:hAnsi="宋体"/>
                <w:i/>
                <w:iCs/>
                <w:szCs w:val="21"/>
                <w:highlight w:val="none"/>
                <w:lang w:val="en-US" w:eastAsia="zh-CN"/>
              </w:rPr>
              <w:t>本项目不适用</w:t>
            </w:r>
            <w:r>
              <w:rPr>
                <w:rFonts w:hint="eastAsia" w:ascii="宋体" w:hAnsi="宋体"/>
                <w:i/>
                <w:iCs/>
                <w:szCs w:val="21"/>
                <w:highlight w:val="none"/>
              </w:rPr>
              <w:t>）</w:t>
            </w:r>
          </w:p>
        </w:tc>
        <w:tc>
          <w:tcPr>
            <w:tcW w:w="6740"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szCs w:val="21"/>
                <w:highlight w:val="none"/>
              </w:rPr>
            </w:pPr>
            <w:r>
              <w:rPr>
                <w:rFonts w:hint="eastAsia" w:ascii="宋体" w:hAnsi="宋体"/>
                <w:szCs w:val="21"/>
                <w:highlight w:val="none"/>
              </w:rPr>
              <w:t>（1）小型和微型企业价格扣除：</w:t>
            </w:r>
            <w:r>
              <w:rPr>
                <w:rFonts w:hint="eastAsia" w:ascii="宋体" w:hAnsi="宋体"/>
                <w:szCs w:val="21"/>
                <w:highlight w:val="none"/>
                <w:lang w:val="en-US" w:eastAsia="zh-CN"/>
              </w:rPr>
              <w:t>10</w:t>
            </w:r>
            <w:r>
              <w:rPr>
                <w:rFonts w:ascii="宋体" w:hAnsi="宋体"/>
                <w:szCs w:val="21"/>
                <w:highlight w:val="none"/>
              </w:rPr>
              <w:t xml:space="preserve"> </w:t>
            </w:r>
            <w:r>
              <w:rPr>
                <w:rFonts w:hint="eastAsia" w:ascii="宋体" w:hAnsi="宋体"/>
                <w:szCs w:val="21"/>
                <w:highlight w:val="none"/>
              </w:rPr>
              <w:t xml:space="preserve">%。 </w:t>
            </w:r>
          </w:p>
          <w:p>
            <w:pPr>
              <w:spacing w:line="420" w:lineRule="exact"/>
              <w:jc w:val="left"/>
              <w:rPr>
                <w:rFonts w:ascii="宋体" w:hAnsi="宋体"/>
                <w:szCs w:val="21"/>
                <w:highlight w:val="none"/>
              </w:rPr>
            </w:pPr>
            <w:r>
              <w:rPr>
                <w:rFonts w:hint="eastAsia" w:ascii="宋体" w:hAnsi="宋体"/>
                <w:szCs w:val="21"/>
                <w:highlight w:val="none"/>
              </w:rPr>
              <w:t>（2）监狱企业价格扣除:同小型和微型企业。</w:t>
            </w:r>
          </w:p>
          <w:p>
            <w:pPr>
              <w:spacing w:line="420" w:lineRule="exact"/>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）残疾人福利性单位价格扣除：同小型和微型企业。</w:t>
            </w:r>
          </w:p>
          <w:p>
            <w:pPr>
              <w:spacing w:line="420" w:lineRule="exact"/>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）符合条件的联合体价格扣除:</w:t>
            </w:r>
            <w:r>
              <w:rPr>
                <w:rFonts w:ascii="宋体" w:hAnsi="宋体"/>
                <w:szCs w:val="21"/>
                <w:highlight w:val="none"/>
              </w:rPr>
              <w:t>/</w:t>
            </w:r>
            <w:r>
              <w:rPr>
                <w:rFonts w:hint="eastAsia" w:ascii="宋体" w:hAnsi="宋体"/>
                <w:szCs w:val="21"/>
                <w:highlight w:val="none"/>
              </w:rPr>
              <w:t>。</w:t>
            </w:r>
          </w:p>
          <w:p>
            <w:pPr>
              <w:spacing w:line="48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）符合条件的向小微企业分包的大中型企业价格扣除:</w:t>
            </w:r>
            <w:r>
              <w:rPr>
                <w:rFonts w:ascii="宋体" w:hAnsi="宋体"/>
                <w:szCs w:val="21"/>
                <w:highlight w:val="none"/>
              </w:rPr>
              <w:t>/</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4</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成交通知书发出的形式</w:t>
            </w:r>
          </w:p>
        </w:tc>
        <w:tc>
          <w:tcPr>
            <w:tcW w:w="67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数据电文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szCs w:val="21"/>
                <w:highlight w:val="none"/>
                <w:lang w:val="en-US" w:eastAsia="zh-CN"/>
              </w:rPr>
              <w:t>25</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履约保证金</w:t>
            </w:r>
          </w:p>
        </w:tc>
        <w:tc>
          <w:tcPr>
            <w:tcW w:w="6740" w:type="dxa"/>
            <w:tcBorders>
              <w:top w:val="single" w:color="auto" w:sz="4" w:space="0"/>
              <w:left w:val="single" w:color="auto" w:sz="4" w:space="0"/>
              <w:bottom w:val="single" w:color="auto" w:sz="4" w:space="0"/>
            </w:tcBorders>
            <w:vAlign w:val="center"/>
          </w:tcPr>
          <w:p>
            <w:pPr>
              <w:spacing w:line="480" w:lineRule="exact"/>
              <w:rPr>
                <w:rFonts w:hint="eastAsia" w:ascii="宋体" w:hAnsi="宋体"/>
                <w:szCs w:val="21"/>
                <w:highlight w:val="none"/>
              </w:rPr>
            </w:pPr>
            <w:r>
              <w:rPr>
                <w:rFonts w:hint="eastAsia" w:ascii="宋体" w:hAnsi="宋体"/>
                <w:szCs w:val="21"/>
                <w:highlight w:val="none"/>
              </w:rPr>
              <w:t>是否要求</w:t>
            </w:r>
            <w:r>
              <w:rPr>
                <w:rFonts w:hint="eastAsia" w:ascii="宋体" w:hAnsi="宋体"/>
                <w:szCs w:val="21"/>
                <w:highlight w:val="none"/>
                <w:lang w:val="en-US" w:eastAsia="zh-CN"/>
              </w:rPr>
              <w:t>成交</w:t>
            </w:r>
            <w:r>
              <w:rPr>
                <w:rFonts w:hint="eastAsia" w:ascii="宋体" w:hAnsi="宋体"/>
                <w:szCs w:val="21"/>
                <w:highlight w:val="none"/>
              </w:rPr>
              <w:t>人提交履约保证金：</w:t>
            </w:r>
          </w:p>
          <w:p>
            <w:pPr>
              <w:spacing w:line="480" w:lineRule="exact"/>
              <w:rPr>
                <w:rFonts w:hint="eastAsia" w:ascii="宋体" w:hAnsi="宋体"/>
                <w:szCs w:val="21"/>
                <w:highlight w:val="none"/>
              </w:rPr>
            </w:pPr>
            <w:r>
              <w:rPr>
                <w:rFonts w:hint="eastAsia" w:ascii="宋体" w:hAnsi="宋体"/>
                <w:szCs w:val="21"/>
                <w:highlight w:val="none"/>
              </w:rPr>
              <w:t>□不要求 ☑要求</w:t>
            </w:r>
          </w:p>
          <w:p>
            <w:pPr>
              <w:spacing w:line="480" w:lineRule="exact"/>
              <w:rPr>
                <w:rFonts w:hint="eastAsia" w:ascii="宋体" w:hAnsi="宋体"/>
                <w:szCs w:val="21"/>
                <w:highlight w:val="none"/>
              </w:rPr>
            </w:pPr>
            <w:r>
              <w:rPr>
                <w:rFonts w:hint="eastAsia" w:ascii="宋体" w:hAnsi="宋体"/>
                <w:szCs w:val="21"/>
                <w:highlight w:val="none"/>
              </w:rPr>
              <w:t>(1)履约保证金的金额；</w:t>
            </w:r>
            <w:r>
              <w:rPr>
                <w:rFonts w:hint="eastAsia" w:ascii="宋体" w:hAnsi="宋体"/>
                <w:szCs w:val="21"/>
                <w:highlight w:val="none"/>
                <w:lang w:val="en-US" w:eastAsia="zh-CN"/>
              </w:rPr>
              <w:t>成交价的2%</w:t>
            </w:r>
            <w:r>
              <w:rPr>
                <w:rFonts w:hint="eastAsia" w:ascii="宋体" w:hAnsi="宋体"/>
                <w:szCs w:val="21"/>
                <w:highlight w:val="none"/>
              </w:rPr>
              <w:t>；</w:t>
            </w:r>
          </w:p>
          <w:p>
            <w:pPr>
              <w:spacing w:line="480" w:lineRule="exact"/>
              <w:rPr>
                <w:rFonts w:hint="eastAsia" w:ascii="宋体" w:hAnsi="宋体"/>
                <w:szCs w:val="21"/>
                <w:highlight w:val="none"/>
              </w:rPr>
            </w:pPr>
            <w:r>
              <w:rPr>
                <w:rFonts w:hint="eastAsia" w:ascii="宋体" w:hAnsi="宋体"/>
                <w:szCs w:val="21"/>
                <w:highlight w:val="none"/>
              </w:rPr>
              <w:t>(2)履约保证金的形式：可以为银行转账、银行电汇；银行保函、担保机构担保、保证保险。</w:t>
            </w:r>
          </w:p>
          <w:p>
            <w:pPr>
              <w:spacing w:line="480" w:lineRule="exact"/>
              <w:rPr>
                <w:rFonts w:ascii="宋体"/>
                <w:szCs w:val="21"/>
                <w:highlight w:val="none"/>
              </w:rPr>
            </w:pPr>
            <w:r>
              <w:rPr>
                <w:rFonts w:hint="eastAsia" w:ascii="宋体" w:hAnsi="宋体"/>
                <w:szCs w:val="21"/>
                <w:highlight w:val="none"/>
              </w:rPr>
              <w:t>(3)提交时限：</w:t>
            </w:r>
            <w:r>
              <w:rPr>
                <w:rFonts w:hint="eastAsia" w:ascii="宋体" w:hAnsi="宋体"/>
                <w:szCs w:val="21"/>
                <w:highlight w:val="none"/>
                <w:lang w:val="en-US" w:eastAsia="zh-CN"/>
              </w:rPr>
              <w:t>成交</w:t>
            </w:r>
            <w:r>
              <w:rPr>
                <w:rFonts w:hint="eastAsia" w:ascii="宋体" w:hAnsi="宋体"/>
                <w:szCs w:val="21"/>
                <w:highlight w:val="none"/>
              </w:rPr>
              <w:t>人在合同签订前应按</w:t>
            </w:r>
            <w:r>
              <w:rPr>
                <w:rFonts w:hint="eastAsia" w:ascii="宋体" w:hAnsi="宋体"/>
                <w:szCs w:val="21"/>
                <w:highlight w:val="none"/>
                <w:lang w:val="en-US" w:eastAsia="zh-CN"/>
              </w:rPr>
              <w:t>磋商</w:t>
            </w:r>
            <w:r>
              <w:rPr>
                <w:rFonts w:hint="eastAsia" w:ascii="宋体" w:hAnsi="宋体"/>
                <w:szCs w:val="21"/>
                <w:highlight w:val="none"/>
              </w:rPr>
              <w:t>文件要求提交履约担保。若中标人未按规定提交履约担保的，招标人可</w:t>
            </w:r>
            <w:r>
              <w:rPr>
                <w:rFonts w:hint="eastAsia" w:ascii="宋体" w:hAnsi="宋体"/>
                <w:szCs w:val="21"/>
                <w:highlight w:val="none"/>
                <w:lang w:val="en-US" w:eastAsia="zh-CN"/>
              </w:rPr>
              <w:t>取</w:t>
            </w:r>
            <w:r>
              <w:rPr>
                <w:rFonts w:hint="eastAsia" w:ascii="宋体" w:hAnsi="宋体"/>
                <w:szCs w:val="21"/>
                <w:highlight w:val="none"/>
              </w:rPr>
              <w:t>消其</w:t>
            </w:r>
            <w:r>
              <w:rPr>
                <w:rFonts w:hint="eastAsia" w:ascii="宋体" w:hAnsi="宋体"/>
                <w:szCs w:val="21"/>
                <w:highlight w:val="none"/>
                <w:lang w:val="en-US" w:eastAsia="zh-CN"/>
              </w:rPr>
              <w:t>成交</w:t>
            </w:r>
            <w:r>
              <w:rPr>
                <w:rFonts w:hint="eastAsia" w:ascii="宋体" w:hAnsi="宋体"/>
                <w:szCs w:val="21"/>
                <w:highlight w:val="none"/>
              </w:rPr>
              <w:t>资格</w:t>
            </w:r>
            <w:r>
              <w:rPr>
                <w:rFonts w:hint="eastAsia" w:ascii="宋体" w:hAnsi="宋体"/>
                <w:szCs w:val="21"/>
                <w:highlight w:val="none"/>
                <w:lang w:eastAsia="zh-CN"/>
              </w:rPr>
              <w:t>，</w:t>
            </w:r>
            <w:r>
              <w:rPr>
                <w:rFonts w:hint="eastAsia" w:ascii="宋体" w:hAnsi="宋体"/>
                <w:szCs w:val="21"/>
                <w:highlight w:val="none"/>
              </w:rPr>
              <w:t>并保留进一步追偿的权利。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26</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安全文明要求</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执行国家、省、市现行相关规定，确保安全文明施工</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27</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总包及分包规定</w:t>
            </w:r>
          </w:p>
        </w:tc>
        <w:tc>
          <w:tcPr>
            <w:tcW w:w="6740"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不得在</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后将工程转包给其它施工单位。如需专业分包，分包项目、内容、分包商、分包合同须报监理单位确认，经</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同意后方可实施。</w:t>
            </w:r>
          </w:p>
          <w:p>
            <w:pPr>
              <w:keepNext w:val="0"/>
              <w:keepLines w:val="0"/>
              <w:suppressLineNumbers w:val="0"/>
              <w:spacing w:before="0" w:beforeAutospacing="0" w:after="0" w:afterAutospacing="0" w:line="420" w:lineRule="exact"/>
              <w:ind w:left="0" w:leftChars="0" w:right="0" w:rightChars="0"/>
              <w:rPr>
                <w:rFonts w:hint="eastAsia" w:ascii="宋体" w:hAnsi="宋体" w:eastAsia="宋体" w:cs="宋体"/>
                <w:color w:val="auto"/>
                <w:kern w:val="2"/>
                <w:sz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依据《政府采购促进中小企业发展管理办法》（财库[2020]46号）规定享受扶持政策获得政府采购合同的，小微企业不得将合同分包给大中型企业，中型企业不得将合同分包给大型企业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28</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现场条件</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具备开工条件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29</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农民工工资</w:t>
            </w:r>
            <w:r>
              <w:rPr>
                <w:rFonts w:hint="eastAsia" w:ascii="宋体" w:hAnsi="宋体" w:eastAsia="宋体" w:cs="宋体"/>
                <w:color w:val="auto"/>
                <w:highlight w:val="none"/>
                <w:lang w:eastAsia="zh-CN"/>
              </w:rPr>
              <w:t>要求</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lang w:val="en-US" w:eastAsia="zh-CN"/>
              </w:rPr>
            </w:pPr>
            <w:r>
              <w:rPr>
                <w:rFonts w:hint="eastAsia"/>
                <w:lang w:eastAsia="zh-CN"/>
              </w:rPr>
              <w:t>供应商</w:t>
            </w:r>
            <w:r>
              <w:rPr>
                <w:rFonts w:hint="eastAsia"/>
              </w:rPr>
              <w:t>一旦</w:t>
            </w:r>
            <w:r>
              <w:rPr>
                <w:rFonts w:hint="eastAsia"/>
                <w:lang w:eastAsia="zh-CN"/>
              </w:rPr>
              <w:t>成交</w:t>
            </w:r>
            <w:r>
              <w:rPr>
                <w:rFonts w:hint="eastAsia"/>
              </w:rPr>
              <w:t>，必须严格执行《安庆市人民政府办公室关于印发安庆市工程建设领域农民工工资专用账户和工程款分账管理办法的通知》</w:t>
            </w:r>
            <w:r>
              <w:rPr>
                <w:rFonts w:hint="eastAsia"/>
                <w:lang w:eastAsia="zh-CN"/>
              </w:rPr>
              <w:t>（宜政办秘〔2021〕17号）</w:t>
            </w:r>
            <w:r>
              <w:rPr>
                <w:rFonts w:hint="eastAsia"/>
              </w:rPr>
              <w:t>的规定。</w:t>
            </w:r>
            <w:r>
              <w:rPr>
                <w:rFonts w:hint="eastAsia"/>
                <w:lang w:val="en-US" w:eastAsia="zh-CN"/>
              </w:rPr>
              <w:t>按安庆市相关规定使用“安庆市农民工工资支付监管系统”，及时足额拨付工资性工程款进入农民工工资专用账户。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lang w:val="en-US" w:eastAsia="zh-CN"/>
              </w:rPr>
            </w:pPr>
            <w:r>
              <w:rPr>
                <w:rFonts w:hint="eastAsia"/>
                <w:lang w:val="en-US" w:eastAsia="zh-CN"/>
              </w:rPr>
              <w:t>施工总承包企业要按照《安徽省工程建设领域农民工工资保证  金实施办法》(皖人社发〔2022〕8号)等文件要求，缴纳农民工工资保证金，支持采用银行保函、担保保函、保证保险等方式缴纳。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30</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人员到岗</w:t>
            </w:r>
          </w:p>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及履约要求</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0" w:firstLineChars="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一旦</w:t>
            </w:r>
            <w:r>
              <w:rPr>
                <w:rFonts w:hint="eastAsia" w:ascii="宋体" w:hAnsi="宋体" w:cs="宋体"/>
                <w:color w:val="auto"/>
                <w:highlight w:val="none"/>
                <w:lang w:eastAsia="zh-CN"/>
              </w:rPr>
              <w:t>成交</w:t>
            </w:r>
            <w:r>
              <w:rPr>
                <w:rFonts w:hint="eastAsia" w:ascii="宋体" w:hAnsi="宋体" w:eastAsia="宋体" w:cs="宋体"/>
                <w:color w:val="auto"/>
                <w:highlight w:val="none"/>
              </w:rPr>
              <w:t>，所派本</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的项目经理、项目部关键岗位其他人员等在整个项目施工期内必须按合同约定在岗履职，否则发包人有权终止合同。由此造成的损失，</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自行承担并赔偿可能给</w:t>
            </w:r>
            <w:r>
              <w:rPr>
                <w:rFonts w:hint="eastAsia" w:ascii="宋体" w:hAnsi="宋体" w:eastAsia="宋体" w:cs="宋体"/>
                <w:color w:val="auto"/>
                <w:highlight w:val="none"/>
                <w:lang w:eastAsia="zh-CN"/>
              </w:rPr>
              <w:t>发包人</w:t>
            </w:r>
            <w:r>
              <w:rPr>
                <w:rFonts w:hint="eastAsia" w:ascii="宋体" w:hAnsi="宋体" w:eastAsia="宋体" w:cs="宋体"/>
                <w:color w:val="auto"/>
                <w:highlight w:val="none"/>
              </w:rPr>
              <w:t>造成的损失。</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0" w:firstLineChars="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成交人</w:t>
            </w:r>
            <w:r>
              <w:rPr>
                <w:rFonts w:hint="eastAsia" w:ascii="宋体" w:hAnsi="宋体" w:eastAsia="宋体" w:cs="宋体"/>
                <w:color w:val="auto"/>
                <w:highlight w:val="none"/>
              </w:rPr>
              <w:t>（承包人）不得擅自更换投标时所报项目经理、技术负责人。项目经理、技术负责人的变更应经发包人、监理单位、建设行政主管部门和</w:t>
            </w:r>
            <w:r>
              <w:rPr>
                <w:rFonts w:hint="eastAsia" w:ascii="宋体" w:hAnsi="宋体" w:cs="宋体"/>
                <w:color w:val="auto"/>
                <w:highlight w:val="none"/>
                <w:lang w:val="en-US" w:eastAsia="zh-CN"/>
              </w:rPr>
              <w:t>公共资源交易</w:t>
            </w:r>
            <w:r>
              <w:rPr>
                <w:rFonts w:hint="eastAsia" w:ascii="宋体" w:hAnsi="宋体" w:eastAsia="宋体" w:cs="宋体"/>
                <w:color w:val="auto"/>
                <w:highlight w:val="none"/>
              </w:rPr>
              <w:t>监督部门同意后，方可办理变更，且变更后的项目经理、技术负责人的执业资格、业绩等不应低于原</w:t>
            </w:r>
            <w:r>
              <w:rPr>
                <w:rFonts w:hint="eastAsia" w:ascii="宋体" w:hAnsi="宋体" w:cs="宋体"/>
                <w:color w:val="auto"/>
                <w:highlight w:val="none"/>
                <w:lang w:eastAsia="zh-CN"/>
              </w:rPr>
              <w:t>磋商文件</w:t>
            </w:r>
            <w:r>
              <w:rPr>
                <w:rFonts w:hint="eastAsia" w:ascii="宋体" w:hAnsi="宋体" w:eastAsia="宋体" w:cs="宋体"/>
                <w:color w:val="auto"/>
                <w:highlight w:val="none"/>
              </w:rPr>
              <w:t>要求。</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00" w:firstLineChars="0"/>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成交人</w:t>
            </w:r>
            <w:r>
              <w:rPr>
                <w:rFonts w:hint="eastAsia" w:ascii="宋体" w:hAnsi="宋体" w:eastAsia="宋体" w:cs="宋体"/>
                <w:color w:val="auto"/>
                <w:highlight w:val="none"/>
                <w:lang w:val="en-US" w:eastAsia="zh-CN"/>
              </w:rPr>
              <w:t>在开工前组建的施工项目管理机构，要符合住房城乡建设部及安徽省相关标准规定。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材料要求</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除发包人提供的材料、设备外，凡属承包范围内的所有材料、设备均由</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自行采购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承包人必须选用</w:t>
            </w:r>
            <w:r>
              <w:rPr>
                <w:rFonts w:hint="eastAsia" w:ascii="宋体" w:hAnsi="宋体" w:eastAsia="宋体" w:cs="宋体"/>
                <w:color w:val="auto"/>
                <w:highlight w:val="none"/>
                <w:lang w:eastAsia="zh-CN"/>
              </w:rPr>
              <w:t>合格产品</w:t>
            </w:r>
            <w:r>
              <w:rPr>
                <w:rFonts w:hint="eastAsia" w:ascii="宋体" w:hAnsi="宋体" w:eastAsia="宋体" w:cs="宋体"/>
                <w:color w:val="auto"/>
                <w:highlight w:val="none"/>
              </w:rPr>
              <w:t>并经发包人同意。</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对本工程的主要材料、设备及供应的厂商，须进行资格和品牌的认定，在采购前应将供应商的有关资料（如质保书、生产许可证等或备案要求）报监理单位审查，并经发包人批准后方可采购。否则，发包人有权不予验收进场，由此造成的损失由承包人自负，工期不予顺延。</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实施采购的工程主要设备和材料由承包人实施，品牌、规格等须经发包人认可签字后方可进行采购，承包人采购计划应提前报发包人审定。因承包人资源投入不足，直接影响工程质量和工期，且无视监理工程师的警告而不做改进，从而引起工程的质量、进度和材料设备准备严重滞后时，发包人有权采取相关措施进行补救，相关措施的费用由承包人承担。</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若承包人不能提供符合设计要求或合同约定的材料，发包人有权要求承包人停止采购，已经采购进场的勒令其退场，由此所造成的一切损失或发生的费用由承包人承担。</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磋商文件</w:t>
            </w:r>
            <w:r>
              <w:rPr>
                <w:rFonts w:hint="eastAsia" w:ascii="宋体" w:hAnsi="宋体" w:eastAsia="宋体" w:cs="宋体"/>
                <w:color w:val="auto"/>
                <w:highlight w:val="none"/>
              </w:rPr>
              <w:t>中提供的参考商标、品牌或标准是</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人为了方便</w:t>
            </w:r>
            <w:r>
              <w:rPr>
                <w:rFonts w:hint="eastAsia" w:ascii="宋体" w:hAnsi="宋体" w:cs="宋体"/>
                <w:color w:val="auto"/>
                <w:highlight w:val="none"/>
                <w:lang w:eastAsia="zh-CN"/>
              </w:rPr>
              <w:t>供应商</w:t>
            </w:r>
            <w:r>
              <w:rPr>
                <w:rFonts w:hint="eastAsia" w:ascii="宋体" w:hAnsi="宋体" w:eastAsia="宋体" w:cs="宋体"/>
                <w:color w:val="auto"/>
                <w:highlight w:val="none"/>
              </w:rPr>
              <w:t>更明确、更清楚说明拟采购货物的技术规格和标准，并无限制性。</w:t>
            </w:r>
            <w:r>
              <w:rPr>
                <w:rFonts w:hint="eastAsia" w:ascii="宋体" w:hAnsi="宋体" w:eastAsia="宋体" w:cs="宋体"/>
                <w:color w:val="auto"/>
                <w:highlight w:val="none"/>
                <w:lang w:eastAsia="zh-CN"/>
              </w:rPr>
              <w:t>承包人在施工过程</w:t>
            </w:r>
            <w:r>
              <w:rPr>
                <w:rFonts w:hint="eastAsia" w:ascii="宋体" w:hAnsi="宋体" w:eastAsia="宋体" w:cs="宋体"/>
                <w:color w:val="auto"/>
                <w:highlight w:val="none"/>
              </w:rPr>
              <w:t>中若选用替代商标、品牌或标准，应优于或相当于参考商标、品牌或标准。承包人所选用</w:t>
            </w:r>
            <w:r>
              <w:rPr>
                <w:rFonts w:hint="eastAsia" w:ascii="宋体" w:hAnsi="宋体" w:eastAsia="宋体" w:cs="宋体"/>
                <w:color w:val="auto"/>
                <w:highlight w:val="none"/>
                <w:lang w:eastAsia="zh-CN"/>
              </w:rPr>
              <w:t>产品</w:t>
            </w:r>
            <w:r>
              <w:rPr>
                <w:rFonts w:hint="eastAsia" w:ascii="宋体" w:hAnsi="宋体" w:eastAsia="宋体" w:cs="宋体"/>
                <w:color w:val="auto"/>
                <w:highlight w:val="none"/>
              </w:rPr>
              <w:t>须经发包人同意后方可</w:t>
            </w:r>
            <w:r>
              <w:rPr>
                <w:rFonts w:hint="eastAsia" w:ascii="宋体" w:hAnsi="宋体" w:eastAsia="宋体" w:cs="宋体"/>
                <w:color w:val="auto"/>
                <w:highlight w:val="none"/>
                <w:lang w:eastAsia="zh-CN"/>
              </w:rPr>
              <w:t>使</w:t>
            </w:r>
            <w:r>
              <w:rPr>
                <w:rFonts w:hint="eastAsia" w:ascii="宋体" w:hAnsi="宋体" w:eastAsia="宋体" w:cs="宋体"/>
                <w:color w:val="auto"/>
                <w:highlight w:val="none"/>
              </w:rPr>
              <w:t>用。</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03" w:firstLineChars="0"/>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根据《安庆市人民政府办公室关于在建设工程中加强预拌砂浆应用工作的通知》（宜政办秘【2016】65号）要求，本项目应使用预拌砂浆，</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应当将使用预拌砂浆的费用列入</w:t>
            </w:r>
            <w:r>
              <w:rPr>
                <w:rFonts w:hint="eastAsia" w:ascii="宋体" w:hAnsi="宋体" w:cs="宋体"/>
                <w:color w:val="auto"/>
                <w:highlight w:val="none"/>
                <w:lang w:val="en-US" w:eastAsia="zh-CN"/>
              </w:rPr>
              <w:t>磋商</w:t>
            </w:r>
            <w:r>
              <w:rPr>
                <w:rFonts w:hint="eastAsia" w:ascii="宋体" w:hAnsi="宋体" w:eastAsia="宋体" w:cs="宋体"/>
                <w:color w:val="auto"/>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szCs w:val="21"/>
                <w:highlight w:val="none"/>
                <w:lang w:val="en-US" w:eastAsia="zh-CN"/>
              </w:rPr>
              <w:t>32</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ascii="宋体"/>
                <w:szCs w:val="21"/>
                <w:highlight w:val="none"/>
              </w:rPr>
            </w:pPr>
            <w:r>
              <w:rPr>
                <w:rFonts w:hint="eastAsia" w:ascii="宋体" w:hAnsi="宋体" w:eastAsia="宋体" w:cs="宋体"/>
                <w:color w:val="auto"/>
                <w:highlight w:val="none"/>
              </w:rPr>
              <w:t>费用缴纳</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①</w:t>
            </w:r>
            <w:r>
              <w:rPr>
                <w:rFonts w:hint="eastAsia" w:ascii="宋体" w:hAnsi="宋体" w:cs="宋体"/>
                <w:color w:val="auto"/>
                <w:highlight w:val="none"/>
                <w:lang w:val="en-US" w:eastAsia="zh-CN"/>
              </w:rPr>
              <w:t>招标代理费</w:t>
            </w:r>
            <w:r>
              <w:rPr>
                <w:rFonts w:hint="eastAsia" w:ascii="宋体" w:hAnsi="宋体" w:eastAsia="宋体" w:cs="宋体"/>
                <w:color w:val="auto"/>
                <w:highlight w:val="none"/>
              </w:rPr>
              <w:t>按</w:t>
            </w:r>
            <w:r>
              <w:rPr>
                <w:rFonts w:hint="eastAsia" w:ascii="宋体" w:hAnsi="宋体" w:eastAsia="宋体" w:cs="宋体"/>
                <w:b/>
                <w:bCs/>
                <w:color w:val="auto"/>
                <w:highlight w:val="none"/>
                <w:lang w:val="en-US" w:eastAsia="zh-CN"/>
              </w:rPr>
              <w:t>竞争性</w:t>
            </w:r>
            <w:r>
              <w:rPr>
                <w:rFonts w:hint="eastAsia" w:ascii="宋体" w:hAnsi="宋体" w:cs="宋体"/>
                <w:b/>
                <w:bCs/>
                <w:color w:val="auto"/>
                <w:highlight w:val="none"/>
                <w:lang w:val="en-US" w:eastAsia="zh-CN"/>
              </w:rPr>
              <w:t>磋商文件</w:t>
            </w:r>
            <w:r>
              <w:rPr>
                <w:rFonts w:hint="eastAsia" w:ascii="宋体" w:hAnsi="宋体" w:eastAsia="宋体" w:cs="宋体"/>
                <w:color w:val="auto"/>
                <w:highlight w:val="none"/>
                <w:lang w:eastAsia="zh-CN"/>
              </w:rPr>
              <w:t>约</w:t>
            </w:r>
            <w:r>
              <w:rPr>
                <w:rFonts w:hint="eastAsia" w:ascii="宋体" w:hAnsi="宋体" w:eastAsia="宋体" w:cs="宋体"/>
                <w:color w:val="auto"/>
                <w:highlight w:val="none"/>
              </w:rPr>
              <w:t>定收取。</w:t>
            </w:r>
            <w:r>
              <w:rPr>
                <w:rFonts w:hint="eastAsia" w:ascii="宋体" w:hAnsi="宋体" w:cs="宋体"/>
                <w:color w:val="auto"/>
                <w:highlight w:val="none"/>
                <w:lang w:val="en-US" w:eastAsia="zh-CN"/>
              </w:rPr>
              <w:t>该费用由成交人支付，</w:t>
            </w:r>
            <w:r>
              <w:rPr>
                <w:rFonts w:hint="eastAsia" w:ascii="宋体" w:hAnsi="宋体" w:cs="宋体"/>
                <w:color w:val="auto"/>
                <w:highlight w:val="none"/>
                <w:lang w:eastAsia="zh-CN"/>
              </w:rPr>
              <w:t>供应商</w:t>
            </w:r>
            <w:r>
              <w:rPr>
                <w:rFonts w:hint="eastAsia" w:ascii="宋体" w:hAnsi="宋体" w:eastAsia="宋体" w:cs="宋体"/>
                <w:color w:val="auto"/>
                <w:highlight w:val="none"/>
              </w:rPr>
              <w:t>在</w:t>
            </w:r>
            <w:r>
              <w:rPr>
                <w:rFonts w:hint="eastAsia" w:ascii="宋体" w:hAnsi="宋体" w:cs="宋体"/>
                <w:color w:val="auto"/>
                <w:highlight w:val="none"/>
                <w:lang w:eastAsia="zh-CN"/>
              </w:rPr>
              <w:t>磋商报价</w:t>
            </w:r>
            <w:r>
              <w:rPr>
                <w:rFonts w:hint="eastAsia" w:ascii="宋体" w:hAnsi="宋体" w:eastAsia="宋体" w:cs="宋体"/>
                <w:color w:val="auto"/>
                <w:highlight w:val="none"/>
              </w:rPr>
              <w:t>时应考虑此项费用，</w:t>
            </w:r>
            <w:r>
              <w:rPr>
                <w:rFonts w:hint="eastAsia" w:ascii="宋体" w:hAnsi="宋体" w:cs="宋体"/>
                <w:color w:val="auto"/>
                <w:highlight w:val="none"/>
                <w:lang w:eastAsia="zh-CN"/>
              </w:rPr>
              <w:t>采购人</w:t>
            </w:r>
            <w:r>
              <w:rPr>
                <w:rFonts w:hint="eastAsia" w:ascii="宋体" w:hAnsi="宋体" w:eastAsia="宋体" w:cs="宋体"/>
                <w:color w:val="auto"/>
                <w:highlight w:val="none"/>
              </w:rPr>
              <w:t>不再另行支付。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ascii="宋体"/>
                <w:szCs w:val="21"/>
                <w:highlight w:val="none"/>
              </w:rPr>
            </w:pPr>
            <w:r>
              <w:rPr>
                <w:rFonts w:hint="eastAsia" w:ascii="宋体" w:hAnsi="宋体" w:eastAsia="宋体" w:cs="宋体"/>
                <w:color w:val="auto"/>
                <w:highlight w:val="none"/>
              </w:rPr>
              <w:t>②</w:t>
            </w:r>
            <w:r>
              <w:rPr>
                <w:rFonts w:hint="eastAsia" w:ascii="宋体" w:hAnsi="宋体" w:cs="宋体"/>
                <w:color w:val="auto"/>
                <w:highlight w:val="none"/>
                <w:lang w:eastAsia="zh-CN"/>
              </w:rPr>
              <w:t>成交</w:t>
            </w:r>
            <w:r>
              <w:rPr>
                <w:rFonts w:hint="eastAsia" w:ascii="宋体" w:hAnsi="宋体" w:eastAsia="宋体" w:cs="宋体"/>
                <w:color w:val="auto"/>
                <w:highlight w:val="none"/>
              </w:rPr>
              <w:t>候选人未在规定的期限内缴纳</w:t>
            </w:r>
            <w:r>
              <w:rPr>
                <w:rFonts w:hint="eastAsia" w:ascii="宋体" w:hAnsi="宋体" w:cs="宋体"/>
                <w:color w:val="auto"/>
                <w:highlight w:val="none"/>
                <w:lang w:eastAsia="zh-CN"/>
              </w:rPr>
              <w:t>竞争性磋商文件</w:t>
            </w:r>
            <w:r>
              <w:rPr>
                <w:rFonts w:hint="eastAsia" w:ascii="宋体" w:hAnsi="宋体" w:eastAsia="宋体" w:cs="宋体"/>
                <w:color w:val="auto"/>
                <w:highlight w:val="none"/>
                <w:lang w:eastAsia="zh-CN"/>
              </w:rPr>
              <w:t>约定</w:t>
            </w:r>
            <w:r>
              <w:rPr>
                <w:rFonts w:hint="eastAsia" w:ascii="宋体" w:hAnsi="宋体" w:eastAsia="宋体" w:cs="宋体"/>
                <w:color w:val="auto"/>
                <w:highlight w:val="none"/>
              </w:rPr>
              <w:t>的所有费用的，</w:t>
            </w:r>
            <w:r>
              <w:rPr>
                <w:rFonts w:hint="eastAsia" w:ascii="宋体" w:hAnsi="宋体" w:cs="宋体"/>
                <w:color w:val="auto"/>
                <w:highlight w:val="none"/>
                <w:lang w:eastAsia="zh-CN"/>
              </w:rPr>
              <w:t>采购人</w:t>
            </w:r>
            <w:r>
              <w:rPr>
                <w:rFonts w:hint="eastAsia" w:ascii="宋体" w:hAnsi="宋体" w:eastAsia="宋体" w:cs="宋体"/>
                <w:color w:val="auto"/>
                <w:highlight w:val="none"/>
              </w:rPr>
              <w:t>有权取消其</w:t>
            </w:r>
            <w:r>
              <w:rPr>
                <w:rFonts w:hint="eastAsia" w:ascii="宋体" w:hAnsi="宋体" w:cs="宋体"/>
                <w:color w:val="auto"/>
                <w:highlight w:val="none"/>
                <w:lang w:eastAsia="zh-CN"/>
              </w:rPr>
              <w:t>成交</w:t>
            </w:r>
            <w:r>
              <w:rPr>
                <w:rFonts w:hint="eastAsia" w:ascii="宋体" w:hAnsi="宋体" w:eastAsia="宋体" w:cs="宋体"/>
                <w:color w:val="auto"/>
                <w:highlight w:val="none"/>
              </w:rPr>
              <w:t>资格，并根据相关规定处理。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33</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highlight w:val="none"/>
                <w:lang w:eastAsia="zh-CN"/>
              </w:rPr>
              <w:t>“危大工程”和“超危大工程”</w:t>
            </w:r>
          </w:p>
        </w:tc>
        <w:tc>
          <w:tcPr>
            <w:tcW w:w="6740"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34</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highlight w:val="none"/>
                <w:lang w:val="en-US" w:eastAsia="zh-CN"/>
              </w:rPr>
              <w:t>扬尘污染防治</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本项目</w:t>
            </w:r>
            <w:r>
              <w:rPr>
                <w:rFonts w:hint="eastAsia" w:ascii="宋体" w:hAnsi="宋体" w:cs="宋体"/>
                <w:color w:val="auto"/>
                <w:szCs w:val="21"/>
                <w:highlight w:val="none"/>
                <w:lang w:eastAsia="zh-CN"/>
              </w:rPr>
              <w:t>最高磋商限价</w:t>
            </w:r>
            <w:r>
              <w:rPr>
                <w:rFonts w:hint="eastAsia" w:ascii="宋体" w:hAnsi="宋体" w:eastAsia="宋体" w:cs="宋体"/>
                <w:color w:val="auto"/>
                <w:szCs w:val="21"/>
                <w:highlight w:val="none"/>
                <w:lang w:eastAsia="zh-CN"/>
              </w:rPr>
              <w:t>已计扬尘污染防治费，</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lang w:eastAsia="zh-CN"/>
              </w:rPr>
              <w:t>应按照建筑工程施工扬尘污染防治相关规定做好扬尘污染防治工作，重点做好现场工地围挡、车辆冲洗、道路和堆场硬化、裸土覆盖（绿化）等抑尘降尘措施。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eastAsia="zh-CN"/>
              </w:rPr>
              <w:t>其他</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right="0" w:firstLine="396" w:firstLineChars="200"/>
              <w:textAlignment w:val="auto"/>
              <w:rPr>
                <w:rFonts w:hint="eastAsia" w:ascii="宋体" w:hAnsi="宋体" w:eastAsia="宋体" w:cs="宋体"/>
                <w:color w:val="auto"/>
                <w:highlight w:val="none"/>
              </w:rPr>
            </w:pPr>
            <w:r>
              <w:rPr>
                <w:rFonts w:hint="eastAsia" w:ascii="宋体" w:hAnsi="宋体" w:cs="宋体"/>
                <w:color w:val="auto"/>
                <w:spacing w:val="-6"/>
                <w:sz w:val="21"/>
                <w:highlight w:val="none"/>
                <w:lang w:val="en-US" w:eastAsia="zh-CN"/>
              </w:rPr>
              <w:t>①</w:t>
            </w:r>
            <w:r>
              <w:rPr>
                <w:rFonts w:hint="eastAsia" w:ascii="宋体" w:hAnsi="宋体" w:eastAsia="宋体" w:cs="宋体"/>
                <w:color w:val="auto"/>
                <w:spacing w:val="-6"/>
                <w:sz w:val="21"/>
                <w:highlight w:val="none"/>
              </w:rPr>
              <w:t>开评标过程中，</w:t>
            </w:r>
            <w:r>
              <w:rPr>
                <w:rFonts w:hint="eastAsia" w:ascii="宋体" w:hAnsi="宋体" w:cs="宋体"/>
                <w:color w:val="auto"/>
                <w:spacing w:val="-6"/>
                <w:sz w:val="21"/>
                <w:highlight w:val="none"/>
                <w:lang w:eastAsia="zh-CN"/>
              </w:rPr>
              <w:t>供应商磋商报价</w:t>
            </w:r>
            <w:r>
              <w:rPr>
                <w:rFonts w:hint="eastAsia" w:ascii="宋体" w:hAnsi="宋体" w:eastAsia="宋体" w:cs="宋体"/>
                <w:color w:val="auto"/>
                <w:spacing w:val="-6"/>
                <w:sz w:val="21"/>
                <w:highlight w:val="none"/>
              </w:rPr>
              <w:t>与公布的</w:t>
            </w:r>
            <w:r>
              <w:rPr>
                <w:rFonts w:hint="eastAsia" w:ascii="宋体" w:hAnsi="宋体" w:cs="宋体"/>
                <w:color w:val="auto"/>
                <w:spacing w:val="-6"/>
                <w:sz w:val="21"/>
                <w:highlight w:val="none"/>
                <w:lang w:eastAsia="zh-CN"/>
              </w:rPr>
              <w:t>最高磋商限价</w:t>
            </w:r>
            <w:r>
              <w:rPr>
                <w:rFonts w:hint="eastAsia" w:ascii="宋体" w:hAnsi="宋体" w:eastAsia="宋体" w:cs="宋体"/>
                <w:color w:val="auto"/>
                <w:spacing w:val="-6"/>
                <w:sz w:val="21"/>
                <w:highlight w:val="none"/>
              </w:rPr>
              <w:t>相比降幅过小，或</w:t>
            </w:r>
            <w:r>
              <w:rPr>
                <w:rFonts w:hint="eastAsia" w:ascii="宋体" w:hAnsi="宋体" w:cs="宋体"/>
                <w:color w:val="auto"/>
                <w:spacing w:val="-6"/>
                <w:sz w:val="21"/>
                <w:highlight w:val="none"/>
                <w:lang w:eastAsia="zh-CN"/>
              </w:rPr>
              <w:t>供应商磋商报价</w:t>
            </w:r>
            <w:r>
              <w:rPr>
                <w:rFonts w:hint="eastAsia" w:ascii="宋体" w:hAnsi="宋体" w:eastAsia="宋体" w:cs="宋体"/>
                <w:color w:val="auto"/>
                <w:spacing w:val="-6"/>
                <w:sz w:val="21"/>
                <w:highlight w:val="none"/>
              </w:rPr>
              <w:t>明显缺乏竞争性的，</w:t>
            </w:r>
            <w:r>
              <w:rPr>
                <w:rFonts w:hint="eastAsia" w:ascii="宋体" w:hAnsi="宋体" w:cs="宋体"/>
                <w:color w:val="auto"/>
                <w:spacing w:val="-6"/>
                <w:sz w:val="21"/>
                <w:highlight w:val="none"/>
                <w:lang w:eastAsia="zh-CN"/>
              </w:rPr>
              <w:t>磋商小组</w:t>
            </w:r>
            <w:r>
              <w:rPr>
                <w:rFonts w:hint="eastAsia" w:ascii="宋体" w:hAnsi="宋体" w:eastAsia="宋体" w:cs="宋体"/>
                <w:color w:val="auto"/>
                <w:spacing w:val="-6"/>
                <w:sz w:val="21"/>
                <w:highlight w:val="none"/>
              </w:rPr>
              <w:t>可以否决所有投标。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420" w:firstLineChars="200"/>
              <w:textAlignment w:val="auto"/>
              <w:rPr>
                <w:rFonts w:hint="eastAsia" w:ascii="宋体" w:hAnsi="宋体" w:eastAsia="宋体" w:cs="宋体"/>
                <w:color w:val="FF0000"/>
                <w:kern w:val="2"/>
                <w:sz w:val="21"/>
                <w:highlight w:val="none"/>
                <w:lang w:val="en-US" w:eastAsia="zh-CN" w:bidi="ar-SA"/>
              </w:rPr>
            </w:pPr>
            <w:r>
              <w:rPr>
                <w:rFonts w:hint="eastAsia" w:ascii="宋体" w:hAnsi="宋体" w:cs="宋体"/>
                <w:color w:val="auto"/>
                <w:highlight w:val="none"/>
                <w:lang w:val="en-US" w:eastAsia="zh-CN"/>
              </w:rPr>
              <w:t>②</w:t>
            </w:r>
            <w:r>
              <w:rPr>
                <w:rFonts w:hint="eastAsia" w:ascii="宋体" w:hAnsi="宋体" w:eastAsia="宋体" w:cs="宋体"/>
                <w:color w:val="auto"/>
                <w:spacing w:val="-6"/>
                <w:sz w:val="21"/>
                <w:highlight w:val="none"/>
                <w:lang w:val="en-US" w:eastAsia="zh-CN"/>
              </w:rPr>
              <w:t>实行暂估价的工程制安项目未达到公开招标标准和规模的，按实调价后结合磋商报价下浮率作为结算价；实行暂估价的货物类项目未达到公开招标标准和规模的，由发包人和承包人在合同中约定具体结算方式。以上各项最终工程结算以发包人或其委托的其他机构审定结果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36</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Cs w:val="21"/>
                <w:highlight w:val="none"/>
              </w:rPr>
            </w:pPr>
            <w:r>
              <w:rPr>
                <w:rFonts w:hint="eastAsia" w:ascii="宋体" w:hAnsi="宋体" w:cs="宋体"/>
                <w:color w:val="000000"/>
                <w:szCs w:val="21"/>
                <w:highlight w:val="none"/>
              </w:rPr>
              <w:t>质疑函递交方式、接收部门、联系电话和通讯地址</w:t>
            </w:r>
          </w:p>
        </w:tc>
        <w:tc>
          <w:tcPr>
            <w:tcW w:w="6740" w:type="dxa"/>
            <w:tcBorders>
              <w:top w:val="single" w:color="auto" w:sz="4" w:space="0"/>
              <w:left w:val="single" w:color="auto" w:sz="4" w:space="0"/>
              <w:bottom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递交方式：电子</w:t>
            </w:r>
            <w:r>
              <w:rPr>
                <w:rFonts w:hint="eastAsia" w:ascii="宋体" w:hAnsi="宋体" w:cs="宋体"/>
                <w:color w:val="000000"/>
                <w:szCs w:val="21"/>
                <w:highlight w:val="none"/>
                <w:lang w:val="en-US" w:eastAsia="zh-CN"/>
              </w:rPr>
              <w:t>交易系统</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接收部门：</w:t>
            </w:r>
            <w:r>
              <w:rPr>
                <w:rFonts w:hint="eastAsia" w:ascii="宋体" w:hAnsi="宋体" w:cs="宋体"/>
                <w:color w:val="000000"/>
                <w:szCs w:val="21"/>
                <w:highlight w:val="none"/>
                <w:lang w:val="en-US" w:eastAsia="zh-CN"/>
              </w:rPr>
              <w:t>交易一</w:t>
            </w:r>
            <w:r>
              <w:rPr>
                <w:rFonts w:hint="eastAsia" w:ascii="宋体" w:hAnsi="宋体" w:cs="宋体"/>
                <w:color w:val="000000"/>
                <w:szCs w:val="21"/>
                <w:highlight w:val="none"/>
              </w:rPr>
              <w:t>部</w:t>
            </w:r>
          </w:p>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联系电话：0556-599</w:t>
            </w:r>
            <w:r>
              <w:rPr>
                <w:rFonts w:hint="eastAsia" w:ascii="宋体" w:hAnsi="宋体" w:cs="宋体"/>
                <w:color w:val="000000"/>
                <w:szCs w:val="21"/>
                <w:highlight w:val="none"/>
                <w:lang w:val="en-US" w:eastAsia="zh-CN"/>
              </w:rPr>
              <w:t>9972</w:t>
            </w:r>
          </w:p>
          <w:p>
            <w:pPr>
              <w:spacing w:line="480" w:lineRule="exact"/>
              <w:rPr>
                <w:rFonts w:ascii="宋体" w:hAnsi="宋体"/>
                <w:szCs w:val="21"/>
                <w:highlight w:val="none"/>
              </w:rPr>
            </w:pPr>
            <w:r>
              <w:rPr>
                <w:rFonts w:hint="eastAsia" w:ascii="宋体" w:hAnsi="宋体" w:cs="宋体"/>
                <w:color w:val="000000"/>
                <w:szCs w:val="21"/>
                <w:highlight w:val="none"/>
              </w:rPr>
              <w:t>通讯地址：安庆市</w:t>
            </w:r>
            <w:r>
              <w:rPr>
                <w:rFonts w:hint="eastAsia" w:ascii="宋体" w:hAnsi="宋体" w:cs="宋体"/>
                <w:color w:val="000000"/>
                <w:szCs w:val="21"/>
                <w:highlight w:val="none"/>
                <w:lang w:val="en-US" w:eastAsia="zh-CN"/>
              </w:rPr>
              <w:t>大观区</w:t>
            </w:r>
            <w:r>
              <w:rPr>
                <w:rFonts w:hint="eastAsia" w:ascii="宋体" w:hAnsi="宋体" w:cs="宋体"/>
                <w:color w:val="000000"/>
                <w:szCs w:val="21"/>
                <w:highlight w:val="none"/>
              </w:rPr>
              <w:t>龙山路21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号五楼</w:t>
            </w:r>
            <w:r>
              <w:rPr>
                <w:rFonts w:hint="eastAsia" w:ascii="宋体" w:hAnsi="宋体" w:cs="宋体"/>
                <w:color w:val="000000"/>
                <w:szCs w:val="21"/>
                <w:highlight w:val="none"/>
                <w:lang w:val="en-US" w:eastAsia="zh-CN"/>
              </w:rPr>
              <w:t>交易一</w:t>
            </w:r>
            <w:r>
              <w:rPr>
                <w:rFonts w:hint="eastAsia" w:ascii="宋体" w:hAnsi="宋体" w:cs="宋体"/>
                <w:color w:val="000000"/>
                <w:szCs w:val="21"/>
                <w:highlight w:val="none"/>
              </w:rPr>
              <w:t>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highlight w:val="none"/>
              </w:rPr>
            </w:pPr>
            <w:r>
              <w:rPr>
                <w:rFonts w:hint="eastAsia" w:ascii="宋体" w:hAnsi="宋体" w:cs="宋体"/>
                <w:color w:val="000000"/>
                <w:highlight w:val="none"/>
              </w:rPr>
              <w:t>网上招标投标</w:t>
            </w:r>
          </w:p>
          <w:p>
            <w:pPr>
              <w:spacing w:line="420" w:lineRule="exact"/>
              <w:jc w:val="center"/>
              <w:rPr>
                <w:rFonts w:ascii="宋体" w:hAnsi="宋体" w:cs="宋体"/>
                <w:color w:val="000000"/>
                <w:szCs w:val="21"/>
                <w:highlight w:val="none"/>
              </w:rPr>
            </w:pPr>
            <w:r>
              <w:rPr>
                <w:rFonts w:hint="eastAsia" w:ascii="宋体" w:hAnsi="宋体" w:cs="宋体"/>
                <w:color w:val="000000"/>
                <w:highlight w:val="none"/>
              </w:rPr>
              <w:t>注意事项</w:t>
            </w:r>
          </w:p>
        </w:tc>
        <w:tc>
          <w:tcPr>
            <w:tcW w:w="6740" w:type="dxa"/>
            <w:tcBorders>
              <w:top w:val="single" w:color="auto" w:sz="4" w:space="0"/>
              <w:left w:val="single" w:color="auto" w:sz="4" w:space="0"/>
              <w:bottom w:val="single" w:color="auto" w:sz="4" w:space="0"/>
            </w:tcBorders>
            <w:vAlign w:val="center"/>
          </w:tcPr>
          <w:p>
            <w:pPr>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1、本次采购不要求供应商提供纸质版磋商响应文件，竞争性磋商文件中所指的磋商响应文件如未特别注明，均为供应商按</w:t>
            </w:r>
            <w:r>
              <w:rPr>
                <w:rFonts w:hint="eastAsia" w:ascii="宋体" w:hAnsi="宋体" w:cs="宋体"/>
                <w:color w:val="000000"/>
                <w:highlight w:val="none"/>
              </w:rPr>
              <w:t>约定</w:t>
            </w:r>
            <w:r>
              <w:rPr>
                <w:rFonts w:hint="eastAsia" w:ascii="宋体" w:hAnsi="宋体" w:cs="宋体"/>
                <w:color w:val="000000"/>
                <w:szCs w:val="21"/>
                <w:highlight w:val="none"/>
              </w:rPr>
              <w:t>格式上传的电子版磋商响应文件。</w:t>
            </w:r>
          </w:p>
          <w:p>
            <w:pPr>
              <w:spacing w:line="420" w:lineRule="exact"/>
              <w:ind w:firstLine="420"/>
              <w:rPr>
                <w:rFonts w:ascii="宋体" w:hAnsi="宋体" w:cs="宋体"/>
                <w:color w:val="000000"/>
                <w:szCs w:val="21"/>
                <w:highlight w:val="none"/>
              </w:rPr>
            </w:pPr>
            <w:r>
              <w:rPr>
                <w:rFonts w:hint="eastAsia" w:ascii="宋体" w:hAnsi="宋体" w:cs="宋体"/>
                <w:color w:val="000000"/>
                <w:spacing w:val="-6"/>
                <w:sz w:val="21"/>
                <w:szCs w:val="21"/>
                <w:highlight w:val="none"/>
              </w:rPr>
              <w:t>2、供应商须使用最新版</w:t>
            </w:r>
            <w:r>
              <w:rPr>
                <w:rFonts w:hint="eastAsia" w:ascii="宋体" w:hAnsi="宋体" w:cs="宋体"/>
                <w:color w:val="000000"/>
                <w:spacing w:val="-6"/>
                <w:sz w:val="21"/>
                <w:szCs w:val="21"/>
                <w:highlight w:val="none"/>
                <w:lang w:eastAsia="zh-CN"/>
              </w:rPr>
              <w:t>磋商响应文件</w:t>
            </w:r>
            <w:r>
              <w:rPr>
                <w:rFonts w:hint="eastAsia" w:ascii="宋体" w:hAnsi="宋体" w:cs="宋体"/>
                <w:color w:val="000000"/>
                <w:spacing w:val="-6"/>
                <w:sz w:val="21"/>
                <w:szCs w:val="21"/>
                <w:highlight w:val="none"/>
              </w:rPr>
              <w:t>制作工具，以免造成磋商响应文件制作错误。软件启动时也将进行提示（需在国际互联网络通畅状态），各供应商需注意更新，如因此导致磋商响应无效，责任自负。</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技术支持服务热线:4009980000，24小时服务QQ:4008503300。</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 xml:space="preserve">    3、供应商须用CA数字证书签章和加密磋商响应文件，必须使用企业锁。如未办理CA数字证书请及时到安徽省电子认证管理中心驻安庆市公共资源交易中心一楼服务窗口办理，联系电话0556-5991201。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38</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磋商响应文件制作（刻录）方法</w:t>
            </w:r>
          </w:p>
        </w:tc>
        <w:tc>
          <w:tcPr>
            <w:tcW w:w="6740" w:type="dxa"/>
            <w:tcBorders>
              <w:top w:val="single" w:color="auto" w:sz="4" w:space="0"/>
              <w:left w:val="single" w:color="auto" w:sz="4" w:space="0"/>
              <w:bottom w:val="single" w:color="auto" w:sz="4" w:space="0"/>
            </w:tcBorders>
            <w:vAlign w:val="center"/>
          </w:tcPr>
          <w:p>
            <w:pPr>
              <w:jc w:val="left"/>
              <w:rPr>
                <w:rFonts w:ascii="宋体" w:hAnsi="宋体" w:cs="宋体"/>
                <w:color w:val="000000"/>
                <w:highlight w:val="none"/>
              </w:rPr>
            </w:pPr>
            <w:r>
              <w:rPr>
                <w:rFonts w:hint="eastAsia" w:ascii="宋体" w:hAnsi="宋体" w:cs="宋体"/>
                <w:color w:val="000000"/>
                <w:highlight w:val="none"/>
              </w:rPr>
              <w:t xml:space="preserve">    1、</w:t>
            </w:r>
            <w:r>
              <w:rPr>
                <w:rFonts w:hint="eastAsia" w:ascii="宋体" w:hAnsi="宋体" w:cs="宋体"/>
                <w:color w:val="000000"/>
                <w:szCs w:val="21"/>
                <w:highlight w:val="none"/>
              </w:rPr>
              <w:t>供应商</w:t>
            </w:r>
            <w:r>
              <w:rPr>
                <w:rFonts w:hint="eastAsia" w:ascii="宋体" w:hAnsi="宋体" w:cs="宋体"/>
                <w:color w:val="000000"/>
                <w:highlight w:val="none"/>
              </w:rPr>
              <w:t>应登陆网址（</w:t>
            </w:r>
            <w:r>
              <w:rPr>
                <w:highlight w:val="none"/>
              </w:rPr>
              <w:fldChar w:fldCharType="begin"/>
            </w:r>
            <w:r>
              <w:rPr>
                <w:highlight w:val="none"/>
              </w:rPr>
              <w:instrText xml:space="preserve"> HYPERLINK "http://183.167.246.178:8605/TPBidder" </w:instrText>
            </w:r>
            <w:r>
              <w:rPr>
                <w:highlight w:val="none"/>
              </w:rPr>
              <w:fldChar w:fldCharType="separate"/>
            </w:r>
            <w:r>
              <w:rPr>
                <w:rFonts w:hint="eastAsia" w:ascii="宋体" w:hAnsi="宋体" w:cs="宋体"/>
                <w:color w:val="000000"/>
                <w:highlight w:val="none"/>
              </w:rPr>
              <w:t>http://183.167.246.178:8605/TPBidder</w:t>
            </w:r>
            <w:r>
              <w:rPr>
                <w:rFonts w:hint="eastAsia" w:ascii="宋体" w:hAnsi="宋体" w:cs="宋体"/>
                <w:color w:val="000000"/>
                <w:highlight w:val="none"/>
              </w:rPr>
              <w:fldChar w:fldCharType="end"/>
            </w:r>
            <w:r>
              <w:rPr>
                <w:rFonts w:hint="eastAsia" w:ascii="宋体" w:hAnsi="宋体" w:cs="宋体"/>
                <w:color w:val="000000"/>
                <w:highlight w:val="none"/>
              </w:rPr>
              <w:t>）点击“</w:t>
            </w:r>
            <w:r>
              <w:rPr>
                <w:rFonts w:hint="eastAsia" w:ascii="宋体" w:hAnsi="宋体" w:cs="宋体"/>
                <w:color w:val="000000"/>
                <w:highlight w:val="none"/>
                <w:lang w:eastAsia="zh-CN"/>
              </w:rPr>
              <w:t>磋商响应文件</w:t>
            </w:r>
            <w:r>
              <w:rPr>
                <w:rFonts w:hint="eastAsia" w:ascii="宋体" w:hAnsi="宋体" w:cs="宋体"/>
                <w:color w:val="000000"/>
                <w:highlight w:val="none"/>
              </w:rPr>
              <w:t>制作工具下载”下载后安装</w:t>
            </w:r>
            <w:r>
              <w:rPr>
                <w:rFonts w:hint="eastAsia" w:ascii="宋体" w:hAnsi="宋体" w:cs="宋体"/>
                <w:color w:val="000000"/>
                <w:highlight w:val="none"/>
                <w:lang w:eastAsia="zh-CN"/>
              </w:rPr>
              <w:t>磋商响应文件</w:t>
            </w:r>
            <w:r>
              <w:rPr>
                <w:rFonts w:hint="eastAsia" w:ascii="宋体" w:hAnsi="宋体" w:cs="宋体"/>
                <w:color w:val="000000"/>
                <w:highlight w:val="none"/>
              </w:rPr>
              <w:t>制作工具软件。</w:t>
            </w:r>
          </w:p>
          <w:p>
            <w:pPr>
              <w:rPr>
                <w:rFonts w:ascii="宋体" w:hAnsi="宋体" w:cs="宋体"/>
                <w:color w:val="000000"/>
                <w:highlight w:val="none"/>
              </w:rPr>
            </w:pPr>
            <w:r>
              <w:rPr>
                <w:rFonts w:hint="eastAsia" w:ascii="宋体" w:hAnsi="宋体" w:cs="宋体"/>
                <w:color w:val="000000"/>
                <w:highlight w:val="none"/>
              </w:rPr>
              <w:t xml:space="preserve">    2、使用</w:t>
            </w:r>
            <w:r>
              <w:rPr>
                <w:rFonts w:hint="eastAsia" w:ascii="宋体" w:hAnsi="宋体" w:cs="宋体"/>
                <w:color w:val="000000"/>
                <w:highlight w:val="none"/>
                <w:lang w:eastAsia="zh-CN"/>
              </w:rPr>
              <w:t>磋商响应文件</w:t>
            </w:r>
            <w:r>
              <w:rPr>
                <w:rFonts w:hint="eastAsia" w:ascii="宋体" w:hAnsi="宋体" w:cs="宋体"/>
                <w:color w:val="000000"/>
                <w:highlight w:val="none"/>
              </w:rPr>
              <w:t>制作工具方法：插入企业CA数字证书，打开“</w:t>
            </w:r>
            <w:r>
              <w:rPr>
                <w:rFonts w:hint="eastAsia" w:ascii="宋体" w:hAnsi="宋体" w:cs="宋体"/>
                <w:b/>
                <w:color w:val="000000" w:themeColor="text1"/>
                <w:highlight w:val="none"/>
                <w14:textFill>
                  <w14:solidFill>
                    <w14:schemeClr w14:val="tx1"/>
                  </w14:solidFill>
                </w14:textFill>
              </w:rPr>
              <w:t>新点</w:t>
            </w:r>
            <w:r>
              <w:rPr>
                <w:rFonts w:hint="eastAsia" w:ascii="宋体" w:hAnsi="宋体" w:cs="宋体"/>
                <w:b/>
                <w:color w:val="000000" w:themeColor="text1"/>
                <w:highlight w:val="none"/>
                <w:lang w:eastAsia="zh-CN"/>
                <w14:textFill>
                  <w14:solidFill>
                    <w14:schemeClr w14:val="tx1"/>
                  </w14:solidFill>
                </w14:textFill>
              </w:rPr>
              <w:t>磋商响应文件</w:t>
            </w:r>
            <w:r>
              <w:rPr>
                <w:rFonts w:hint="eastAsia" w:ascii="宋体" w:hAnsi="宋体" w:cs="宋体"/>
                <w:b/>
                <w:color w:val="000000" w:themeColor="text1"/>
                <w:highlight w:val="none"/>
                <w14:textFill>
                  <w14:solidFill>
                    <w14:schemeClr w14:val="tx1"/>
                  </w14:solidFill>
                </w14:textFill>
              </w:rPr>
              <w:t>制作软件（安徽省互联互通版）</w:t>
            </w:r>
            <w:r>
              <w:rPr>
                <w:rFonts w:hint="eastAsia" w:ascii="宋体" w:hAnsi="宋体" w:cs="宋体"/>
                <w:color w:val="000000"/>
                <w:highlight w:val="none"/>
              </w:rPr>
              <w:t>”，点击“新建投标”按钮并点击“浏览”按钮并找到下载的.AQZF格式的竞争性磋商文件，点选择CA数字证书然后点击“新建项目”然后选择保存文件路径保存，打开</w:t>
            </w:r>
            <w:r>
              <w:rPr>
                <w:rFonts w:hint="eastAsia" w:ascii="宋体" w:hAnsi="宋体" w:cs="宋体"/>
                <w:color w:val="000000"/>
                <w:highlight w:val="none"/>
                <w:lang w:eastAsia="zh-CN"/>
              </w:rPr>
              <w:t>磋商响应文件</w:t>
            </w:r>
            <w:r>
              <w:rPr>
                <w:rFonts w:hint="eastAsia" w:ascii="宋体" w:hAnsi="宋体" w:cs="宋体"/>
                <w:color w:val="000000"/>
                <w:highlight w:val="none"/>
              </w:rPr>
              <w:t>制作工具软件。</w:t>
            </w:r>
          </w:p>
          <w:p>
            <w:pPr>
              <w:rPr>
                <w:rFonts w:ascii="宋体" w:hAnsi="宋体" w:cs="宋体"/>
                <w:color w:val="000000"/>
                <w:highlight w:val="none"/>
              </w:rPr>
            </w:pPr>
            <w:r>
              <w:rPr>
                <w:rFonts w:hint="eastAsia" w:ascii="宋体" w:hAnsi="宋体" w:cs="宋体"/>
                <w:color w:val="000000"/>
                <w:highlight w:val="none"/>
              </w:rPr>
              <w:t xml:space="preserve">    3、</w:t>
            </w:r>
            <w:r>
              <w:rPr>
                <w:rFonts w:hint="eastAsia" w:ascii="宋体" w:hAnsi="宋体" w:cs="宋体"/>
                <w:color w:val="000000"/>
                <w:highlight w:val="none"/>
                <w:lang w:eastAsia="zh-CN"/>
              </w:rPr>
              <w:t>磋商响应文件</w:t>
            </w:r>
            <w:r>
              <w:rPr>
                <w:rFonts w:hint="eastAsia" w:ascii="宋体" w:hAnsi="宋体" w:cs="宋体"/>
                <w:color w:val="000000"/>
                <w:highlight w:val="none"/>
              </w:rPr>
              <w:t>制作工具使用说明：查看安庆市公共资源交易服务网-下载中心-下载专区“</w:t>
            </w:r>
            <w:r>
              <w:rPr>
                <w:rFonts w:hint="eastAsia" w:ascii="宋体" w:hAnsi="宋体" w:cs="宋体"/>
                <w:color w:val="000000"/>
                <w:highlight w:val="none"/>
                <w:lang w:eastAsia="zh-CN"/>
              </w:rPr>
              <w:t>磋商响应文件</w:t>
            </w:r>
            <w:r>
              <w:rPr>
                <w:rFonts w:hint="eastAsia" w:ascii="宋体" w:hAnsi="宋体" w:cs="宋体"/>
                <w:color w:val="000000"/>
                <w:highlight w:val="none"/>
              </w:rPr>
              <w:t>制作操作说明”制作</w:t>
            </w:r>
            <w:r>
              <w:rPr>
                <w:rFonts w:hint="eastAsia" w:ascii="宋体" w:hAnsi="宋体" w:cs="宋体"/>
                <w:color w:val="000000"/>
                <w:szCs w:val="21"/>
                <w:highlight w:val="none"/>
              </w:rPr>
              <w:t>磋商响应</w:t>
            </w:r>
            <w:r>
              <w:rPr>
                <w:rFonts w:hint="eastAsia" w:ascii="宋体" w:hAnsi="宋体" w:cs="宋体"/>
                <w:color w:val="000000"/>
                <w:highlight w:val="none"/>
              </w:rPr>
              <w:t>文件。</w:t>
            </w:r>
          </w:p>
          <w:p>
            <w:pPr>
              <w:rPr>
                <w:rFonts w:ascii="宋体" w:hAnsi="宋体" w:cs="宋体"/>
                <w:color w:val="000000"/>
                <w:szCs w:val="21"/>
                <w:highlight w:val="none"/>
              </w:rPr>
            </w:pPr>
            <w:r>
              <w:rPr>
                <w:rFonts w:hint="eastAsia" w:ascii="宋体" w:hAnsi="宋体" w:cs="宋体"/>
                <w:color w:val="000000"/>
                <w:highlight w:val="none"/>
              </w:rPr>
              <w:t xml:space="preserve">    技术支持服务热线:4009980000，24小时服务QQ:4008503300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szCs w:val="21"/>
                <w:highlight w:val="none"/>
              </w:rPr>
              <w:t>原件</w:t>
            </w:r>
          </w:p>
        </w:tc>
        <w:tc>
          <w:tcPr>
            <w:tcW w:w="674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000000"/>
                <w:highlight w:val="none"/>
              </w:rPr>
            </w:pPr>
            <w:r>
              <w:rPr>
                <w:rFonts w:hint="eastAsia" w:ascii="宋体" w:hAnsi="宋体" w:cs="宋体"/>
                <w:color w:val="000000"/>
                <w:szCs w:val="21"/>
                <w:highlight w:val="none"/>
              </w:rPr>
              <w:t>本次招标评标时不要求供应商携带相关证件、业绩及奖项的原件（磋商文件另有要求的除外）。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szCs w:val="21"/>
                <w:highlight w:val="none"/>
                <w:lang w:val="en-US" w:eastAsia="zh-CN"/>
              </w:rPr>
              <w:t>40</w:t>
            </w:r>
          </w:p>
        </w:tc>
        <w:tc>
          <w:tcPr>
            <w:tcW w:w="18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说明</w:t>
            </w:r>
          </w:p>
        </w:tc>
        <w:tc>
          <w:tcPr>
            <w:tcW w:w="674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1、本磋商文件的解释权归采购单位。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本项目所要求的业绩均须为中华人民共和国境内业绩（不含港澳台地区），成交供应商经磋商小组评审认可的相关业绩、奖项、证书将在安庆市公共资源交易服务网公告（如投标供应商相关业绩、证书属于涉密的，投标供应商须在响应文件中进行说明，且提供主管部门出具的证明材料，涉密部分不予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3、中小企业声明函（如有）和残疾人福利性单位声明函（如有）随成交公告同时公告。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4、依据《政府采购促进中小企业发展管理办法》（财库[2020]46号）规定享受扶持政策获得政府采购合同的，小微企业不得将合同分包给大中型企业，中型企业不得将合同分包给大型企业。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5、施工车辆进出校园和施工过程中，对道路、线缆、管道等公共设施若有损坏，需要修复并恢复原貌。</w:t>
            </w:r>
          </w:p>
          <w:p>
            <w:pPr>
              <w:pStyle w:val="29"/>
              <w:numPr>
                <w:ilvl w:val="0"/>
                <w:numId w:val="0"/>
              </w:numPr>
              <w:rPr>
                <w:rFonts w:hint="default"/>
                <w:lang w:val="en-US" w:eastAsia="zh-CN"/>
              </w:rPr>
            </w:pPr>
            <w:r>
              <w:rPr>
                <w:rFonts w:hint="eastAsia" w:cs="Times New Roman"/>
                <w:lang w:val="en-US" w:eastAsia="zh-CN"/>
              </w:rPr>
              <w:t>6、本项目不接受退休返聘人员。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2"/>
                <w:sz w:val="21"/>
                <w:lang w:val="en-US" w:eastAsia="zh-CN" w:bidi="ar-SA"/>
              </w:rPr>
            </w:pPr>
            <w:r>
              <w:rPr>
                <w:rFonts w:hint="eastAsia" w:cs="Times New Roman"/>
                <w:b/>
                <w:bCs/>
                <w:lang w:val="en-US" w:eastAsia="zh-CN"/>
              </w:rPr>
              <w:t>7</w:t>
            </w:r>
            <w:r>
              <w:rPr>
                <w:rFonts w:hint="eastAsia" w:ascii="Times New Roman" w:hAnsi="Times New Roman" w:cs="Times New Roman"/>
                <w:b/>
                <w:bCs/>
                <w:lang w:val="en-US" w:eastAsia="zh-CN"/>
              </w:rPr>
              <w:t>、</w:t>
            </w:r>
            <w:r>
              <w:rPr>
                <w:rFonts w:hint="eastAsia" w:ascii="Times New Roman" w:hAnsi="Times New Roman" w:cs="Times New Roman"/>
                <w:b/>
                <w:bCs/>
              </w:rPr>
              <w:t>社保缴费证明（或社保有效证明材料）</w:t>
            </w:r>
            <w:r>
              <w:rPr>
                <w:rFonts w:hint="eastAsia" w:ascii="Times New Roman" w:hAnsi="Times New Roman" w:cs="Times New Roman"/>
                <w:b/>
                <w:bCs/>
                <w:lang w:val="en-US" w:eastAsia="zh-CN"/>
              </w:rPr>
              <w:t>指磋商响应</w:t>
            </w:r>
            <w:r>
              <w:rPr>
                <w:rFonts w:hint="eastAsia" w:ascii="Times New Roman" w:hAnsi="Times New Roman" w:cs="Times New Roman"/>
                <w:b/>
                <w:bCs/>
              </w:rPr>
              <w:t>人所属社保机构出具的拟委任的</w:t>
            </w:r>
            <w:r>
              <w:rPr>
                <w:rFonts w:hint="eastAsia" w:ascii="Times New Roman" w:hAnsi="Times New Roman" w:cs="Times New Roman"/>
                <w:b/>
                <w:bCs/>
                <w:lang w:val="en-US" w:eastAsia="zh-CN"/>
              </w:rPr>
              <w:t>人员</w:t>
            </w:r>
            <w:r>
              <w:rPr>
                <w:rFonts w:hint="eastAsia" w:ascii="Times New Roman" w:hAnsi="Times New Roman" w:cs="Times New Roman"/>
                <w:b/>
                <w:bCs/>
              </w:rPr>
              <w:t>社保缴费证明或其他能够证明拟委任的</w:t>
            </w:r>
            <w:r>
              <w:rPr>
                <w:rFonts w:hint="eastAsia" w:ascii="Times New Roman" w:hAnsi="Times New Roman" w:cs="Times New Roman"/>
                <w:b/>
                <w:bCs/>
                <w:lang w:val="en-US" w:eastAsia="zh-CN"/>
              </w:rPr>
              <w:t>人员</w:t>
            </w:r>
            <w:r>
              <w:rPr>
                <w:rFonts w:hint="eastAsia" w:ascii="Times New Roman" w:hAnsi="Times New Roman" w:cs="Times New Roman"/>
                <w:b/>
                <w:bCs/>
              </w:rPr>
              <w:t>参加社保的有效证明材料，</w:t>
            </w:r>
            <w:r>
              <w:rPr>
                <w:rFonts w:hint="eastAsia" w:ascii="Times New Roman" w:hAnsi="Times New Roman" w:cs="Times New Roman"/>
                <w:b/>
                <w:bCs/>
                <w:lang w:val="en-US" w:eastAsia="zh-CN"/>
              </w:rPr>
              <w:t>人员</w:t>
            </w:r>
            <w:r>
              <w:rPr>
                <w:rFonts w:hint="eastAsia" w:ascii="Times New Roman" w:hAnsi="Times New Roman" w:cs="Times New Roman"/>
                <w:b/>
                <w:bCs/>
              </w:rPr>
              <w:t>的社会保险的缴纳单位应当是</w:t>
            </w:r>
            <w:r>
              <w:rPr>
                <w:rFonts w:hint="eastAsia" w:ascii="Times New Roman" w:hAnsi="Times New Roman" w:cs="Times New Roman"/>
                <w:b/>
                <w:bCs/>
                <w:lang w:val="en-US" w:eastAsia="zh-CN"/>
              </w:rPr>
              <w:t>磋商响应</w:t>
            </w:r>
            <w:r>
              <w:rPr>
                <w:rFonts w:hint="eastAsia" w:ascii="Times New Roman" w:hAnsi="Times New Roman" w:cs="Times New Roman"/>
                <w:b/>
                <w:bCs/>
              </w:rPr>
              <w:t>人或者</w:t>
            </w:r>
            <w:r>
              <w:rPr>
                <w:rFonts w:hint="eastAsia" w:ascii="Times New Roman" w:hAnsi="Times New Roman" w:cs="Times New Roman"/>
                <w:b/>
                <w:bCs/>
                <w:lang w:val="en-US" w:eastAsia="zh-CN"/>
              </w:rPr>
              <w:t>磋商响应</w:t>
            </w:r>
            <w:r>
              <w:rPr>
                <w:rFonts w:hint="eastAsia" w:ascii="Times New Roman" w:hAnsi="Times New Roman" w:cs="Times New Roman"/>
                <w:b/>
                <w:bCs/>
              </w:rPr>
              <w:t>人不具备独立法人资格的分支机构。社保缴费证明（或社保有效证明材料）至少含养老保险。</w:t>
            </w:r>
          </w:p>
        </w:tc>
      </w:tr>
    </w:tbl>
    <w:p>
      <w:pPr>
        <w:rPr>
          <w:rFonts w:ascii="宋体" w:hAnsi="宋体"/>
          <w:kern w:val="0"/>
          <w:highlight w:val="none"/>
          <w:lang w:val="zh-CN"/>
        </w:rPr>
      </w:pPr>
      <w:bookmarkStart w:id="55" w:name="_Toc439316872"/>
      <w:r>
        <w:rPr>
          <w:kern w:val="0"/>
          <w:highlight w:val="none"/>
          <w:lang w:val="zh-CN"/>
        </w:rPr>
        <w:br w:type="page"/>
      </w:r>
    </w:p>
    <w:p>
      <w:pPr>
        <w:pStyle w:val="4"/>
        <w:rPr>
          <w:rFonts w:cs="Tahoma"/>
          <w:bCs/>
          <w:kern w:val="0"/>
          <w:sz w:val="32"/>
          <w:szCs w:val="32"/>
          <w:highlight w:val="none"/>
          <w:lang w:val="zh-CN"/>
        </w:rPr>
      </w:pPr>
      <w:bookmarkStart w:id="56" w:name="_Toc54941331"/>
      <w:bookmarkStart w:id="57" w:name="_Toc2521"/>
      <w:r>
        <w:rPr>
          <w:rFonts w:hint="eastAsia" w:cs="Tahoma"/>
          <w:bCs/>
          <w:kern w:val="0"/>
          <w:sz w:val="32"/>
          <w:szCs w:val="32"/>
          <w:highlight w:val="none"/>
          <w:lang w:val="zh-CN"/>
        </w:rPr>
        <w:t>第二节</w:t>
      </w:r>
      <w:r>
        <w:rPr>
          <w:rFonts w:cs="Tahoma"/>
          <w:bCs/>
          <w:kern w:val="0"/>
          <w:sz w:val="32"/>
          <w:szCs w:val="32"/>
          <w:highlight w:val="none"/>
          <w:lang w:val="zh-CN"/>
        </w:rPr>
        <w:t xml:space="preserve"> </w:t>
      </w:r>
      <w:r>
        <w:rPr>
          <w:rFonts w:hint="eastAsia" w:cs="Tahoma"/>
          <w:bCs/>
          <w:kern w:val="0"/>
          <w:sz w:val="32"/>
          <w:szCs w:val="32"/>
          <w:highlight w:val="none"/>
          <w:lang w:val="zh-CN"/>
        </w:rPr>
        <w:t>竞争性磋商须知</w:t>
      </w:r>
      <w:bookmarkEnd w:id="55"/>
      <w:bookmarkEnd w:id="56"/>
      <w:bookmarkEnd w:id="57"/>
    </w:p>
    <w:p>
      <w:pPr>
        <w:autoSpaceDE w:val="0"/>
        <w:autoSpaceDN w:val="0"/>
        <w:adjustRightInd w:val="0"/>
        <w:snapToGrid w:val="0"/>
        <w:spacing w:line="480" w:lineRule="exact"/>
        <w:ind w:firstLine="420"/>
        <w:outlineLvl w:val="2"/>
        <w:rPr>
          <w:rFonts w:ascii="宋体"/>
          <w:b/>
          <w:bCs/>
          <w:szCs w:val="21"/>
          <w:highlight w:val="none"/>
          <w:lang w:val="zh-CN"/>
        </w:rPr>
      </w:pPr>
      <w:bookmarkStart w:id="58" w:name="_Toc54941332"/>
      <w:r>
        <w:rPr>
          <w:rFonts w:hint="eastAsia" w:ascii="宋体" w:hAnsi="宋体"/>
          <w:b/>
          <w:bCs/>
          <w:szCs w:val="21"/>
          <w:highlight w:val="none"/>
          <w:lang w:val="zh-CN"/>
        </w:rPr>
        <w:t>一、总</w:t>
      </w:r>
      <w:r>
        <w:rPr>
          <w:rFonts w:ascii="宋体" w:hAnsi="宋体"/>
          <w:b/>
          <w:bCs/>
          <w:szCs w:val="21"/>
          <w:highlight w:val="none"/>
          <w:lang w:val="zh-CN"/>
        </w:rPr>
        <w:t xml:space="preserve">    </w:t>
      </w:r>
      <w:r>
        <w:rPr>
          <w:rFonts w:hint="eastAsia" w:ascii="宋体" w:hAnsi="宋体"/>
          <w:b/>
          <w:bCs/>
          <w:szCs w:val="21"/>
          <w:highlight w:val="none"/>
          <w:lang w:val="zh-CN"/>
        </w:rPr>
        <w:t>则</w:t>
      </w:r>
      <w:bookmarkEnd w:id="58"/>
    </w:p>
    <w:p>
      <w:pPr>
        <w:spacing w:line="540" w:lineRule="exact"/>
        <w:ind w:firstLine="420" w:firstLineChars="200"/>
        <w:rPr>
          <w:rFonts w:ascii="宋体" w:hAnsi="宋体"/>
          <w:szCs w:val="21"/>
          <w:highlight w:val="none"/>
          <w:lang w:val="zh-CN"/>
        </w:rPr>
      </w:pPr>
      <w:bookmarkStart w:id="59" w:name="_Toc15055"/>
      <w:bookmarkStart w:id="60" w:name="_Toc7325"/>
      <w:bookmarkStart w:id="61" w:name="_Toc439316873"/>
      <w:bookmarkStart w:id="62" w:name="_Toc439316919"/>
      <w:bookmarkStart w:id="63" w:name="_Toc21078"/>
      <w:bookmarkStart w:id="64" w:name="_Toc25270"/>
      <w:bookmarkStart w:id="65" w:name="_Toc10523"/>
      <w:r>
        <w:rPr>
          <w:rFonts w:ascii="宋体" w:hAnsi="宋体"/>
          <w:szCs w:val="21"/>
          <w:highlight w:val="none"/>
          <w:lang w:val="zh-CN"/>
        </w:rPr>
        <w:t>1</w:t>
      </w:r>
      <w:r>
        <w:rPr>
          <w:rFonts w:hint="eastAsia" w:ascii="宋体" w:hAnsi="宋体"/>
          <w:szCs w:val="21"/>
          <w:highlight w:val="none"/>
          <w:lang w:val="zh-CN"/>
        </w:rPr>
        <w:t>、适用法律</w:t>
      </w:r>
      <w:bookmarkEnd w:id="59"/>
      <w:bookmarkEnd w:id="60"/>
      <w:bookmarkEnd w:id="61"/>
      <w:bookmarkEnd w:id="62"/>
      <w:bookmarkEnd w:id="63"/>
      <w:bookmarkEnd w:id="64"/>
      <w:bookmarkEnd w:id="65"/>
    </w:p>
    <w:p>
      <w:pPr>
        <w:spacing w:line="540" w:lineRule="exact"/>
        <w:ind w:firstLine="420" w:firstLineChars="200"/>
        <w:rPr>
          <w:rFonts w:ascii="宋体" w:hAnsi="宋体"/>
          <w:szCs w:val="21"/>
          <w:highlight w:val="none"/>
          <w:lang w:val="zh-CN"/>
        </w:rPr>
      </w:pPr>
      <w:r>
        <w:rPr>
          <w:rFonts w:ascii="宋体" w:hAnsi="宋体"/>
          <w:szCs w:val="21"/>
          <w:highlight w:val="none"/>
          <w:lang w:val="zh-CN"/>
        </w:rPr>
        <w:t xml:space="preserve">1.1 </w:t>
      </w:r>
      <w:r>
        <w:rPr>
          <w:rFonts w:hint="eastAsia" w:ascii="宋体" w:hAnsi="宋体"/>
          <w:szCs w:val="21"/>
          <w:highlight w:val="none"/>
          <w:lang w:val="zh-CN"/>
        </w:rPr>
        <w:t>依据《</w:t>
      </w:r>
      <w:r>
        <w:rPr>
          <w:rFonts w:hint="eastAsia" w:ascii="宋体" w:hAnsi="宋体"/>
          <w:szCs w:val="21"/>
          <w:highlight w:val="none"/>
        </w:rPr>
        <w:t>政府采购竞争性磋商采购方式管理暂行办法</w:t>
      </w:r>
      <w:r>
        <w:rPr>
          <w:rFonts w:hint="eastAsia" w:ascii="宋体" w:hAnsi="宋体"/>
          <w:szCs w:val="21"/>
          <w:highlight w:val="none"/>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highlight w:val="none"/>
          <w:lang w:val="zh-CN"/>
        </w:rPr>
      </w:pPr>
      <w:bookmarkStart w:id="66" w:name="_Toc439316920"/>
      <w:bookmarkStart w:id="67" w:name="_Toc10933"/>
      <w:bookmarkStart w:id="68" w:name="_Toc1704"/>
      <w:bookmarkStart w:id="69" w:name="_Toc439316874"/>
      <w:bookmarkStart w:id="70" w:name="_Toc27113"/>
      <w:bookmarkStart w:id="71" w:name="_Toc24643"/>
      <w:bookmarkStart w:id="72" w:name="_Toc8228"/>
      <w:r>
        <w:rPr>
          <w:rFonts w:ascii="宋体" w:hAnsi="宋体"/>
          <w:szCs w:val="21"/>
          <w:highlight w:val="none"/>
          <w:lang w:val="zh-CN"/>
        </w:rPr>
        <w:t>2</w:t>
      </w:r>
      <w:r>
        <w:rPr>
          <w:rFonts w:hint="eastAsia" w:ascii="宋体" w:hAnsi="宋体"/>
          <w:szCs w:val="21"/>
          <w:highlight w:val="none"/>
          <w:lang w:val="zh-CN"/>
        </w:rPr>
        <w:t>、定义</w:t>
      </w:r>
      <w:bookmarkEnd w:id="66"/>
      <w:bookmarkEnd w:id="67"/>
      <w:bookmarkEnd w:id="68"/>
      <w:bookmarkEnd w:id="69"/>
      <w:bookmarkEnd w:id="70"/>
      <w:bookmarkEnd w:id="71"/>
      <w:bookmarkEnd w:id="72"/>
    </w:p>
    <w:p>
      <w:pPr>
        <w:spacing w:line="540" w:lineRule="exact"/>
        <w:ind w:firstLine="420" w:firstLineChars="200"/>
        <w:rPr>
          <w:rFonts w:ascii="宋体" w:hAnsi="宋体"/>
          <w:szCs w:val="21"/>
          <w:highlight w:val="none"/>
        </w:rPr>
      </w:pPr>
      <w:r>
        <w:rPr>
          <w:rFonts w:ascii="宋体" w:hAnsi="宋体"/>
          <w:szCs w:val="21"/>
          <w:highlight w:val="none"/>
        </w:rPr>
        <w:t>2.1</w:t>
      </w:r>
      <w:r>
        <w:rPr>
          <w:rFonts w:hint="eastAsia" w:ascii="宋体" w:hAnsi="宋体"/>
          <w:szCs w:val="21"/>
          <w:highlight w:val="none"/>
        </w:rPr>
        <w:t>、采购单位是指采购人和采购代理机构。</w:t>
      </w:r>
    </w:p>
    <w:p>
      <w:pPr>
        <w:spacing w:line="540" w:lineRule="exact"/>
        <w:ind w:firstLine="420" w:firstLineChars="200"/>
        <w:rPr>
          <w:rFonts w:ascii="宋体" w:hAnsi="宋体"/>
          <w:szCs w:val="21"/>
          <w:highlight w:val="none"/>
        </w:rPr>
      </w:pPr>
      <w:r>
        <w:rPr>
          <w:rFonts w:ascii="宋体" w:hAnsi="宋体"/>
          <w:szCs w:val="21"/>
          <w:highlight w:val="none"/>
        </w:rPr>
        <w:t>2.2</w:t>
      </w:r>
      <w:r>
        <w:rPr>
          <w:rFonts w:hint="eastAsia" w:ascii="宋体" w:hAnsi="宋体"/>
          <w:szCs w:val="21"/>
          <w:highlight w:val="none"/>
        </w:rPr>
        <w:t>、供应商是指对“磋商须知前附表”序号</w:t>
      </w:r>
      <w:r>
        <w:rPr>
          <w:rFonts w:ascii="宋体" w:hAnsi="宋体"/>
          <w:szCs w:val="21"/>
          <w:highlight w:val="none"/>
        </w:rPr>
        <w:t>2</w:t>
      </w:r>
      <w:r>
        <w:rPr>
          <w:rFonts w:hint="eastAsia" w:ascii="宋体" w:hAnsi="宋体"/>
          <w:szCs w:val="21"/>
          <w:highlight w:val="none"/>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、供应商资格要求</w:t>
      </w:r>
    </w:p>
    <w:p>
      <w:pPr>
        <w:spacing w:line="540" w:lineRule="exact"/>
        <w:ind w:firstLine="420" w:firstLineChars="200"/>
        <w:rPr>
          <w:rFonts w:hint="eastAsia" w:ascii="宋体" w:hAnsi="宋体"/>
          <w:szCs w:val="21"/>
          <w:highlight w:val="none"/>
          <w:lang w:eastAsia="zh-CN"/>
        </w:rPr>
      </w:pPr>
      <w:r>
        <w:rPr>
          <w:rFonts w:ascii="宋体" w:hAnsi="宋体"/>
          <w:szCs w:val="21"/>
          <w:highlight w:val="none"/>
        </w:rPr>
        <w:t>3.1</w:t>
      </w:r>
      <w:r>
        <w:rPr>
          <w:rFonts w:hint="eastAsia" w:ascii="宋体" w:hAnsi="宋体"/>
          <w:szCs w:val="21"/>
          <w:highlight w:val="none"/>
        </w:rPr>
        <w:t>、参与本项目的供应商必须满足以下要求：见磋商须知前附表。</w:t>
      </w:r>
      <w:r>
        <w:rPr>
          <w:rFonts w:ascii="宋体" w:hAnsi="宋体"/>
          <w:szCs w:val="21"/>
          <w:highlight w:val="none"/>
        </w:rPr>
        <w:t xml:space="preserve"> </w:t>
      </w:r>
    </w:p>
    <w:p>
      <w:pPr>
        <w:spacing w:line="54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磋商</w:t>
      </w:r>
      <w:r>
        <w:rPr>
          <w:rFonts w:hint="eastAsia" w:ascii="宋体" w:hAnsi="宋体" w:eastAsia="宋体" w:cs="Times New Roman"/>
          <w:szCs w:val="21"/>
          <w:highlight w:val="none"/>
          <w:lang w:val="en-US" w:eastAsia="zh-CN"/>
        </w:rPr>
        <w:t>响应人（包括联合体各成员）不得与本标段相关单位存在下列关联关系：</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（1）为采购人不具有独立法人资格的附属机构（单位）；</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（2）与采购人存在利害关系且可能影响招标公正性；</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（3）与本标段的其他</w:t>
      </w:r>
      <w:r>
        <w:rPr>
          <w:rFonts w:hint="eastAsia" w:ascii="宋体" w:hAnsi="宋体" w:cs="Times New Roman"/>
          <w:szCs w:val="21"/>
          <w:highlight w:val="none"/>
          <w:lang w:val="en-US" w:eastAsia="zh-CN"/>
        </w:rPr>
        <w:t>磋商响应人</w:t>
      </w:r>
      <w:r>
        <w:rPr>
          <w:rFonts w:hint="eastAsia" w:ascii="宋体" w:hAnsi="宋体" w:eastAsia="宋体" w:cs="Times New Roman"/>
          <w:szCs w:val="21"/>
          <w:highlight w:val="none"/>
          <w:lang w:val="en-US" w:eastAsia="zh-CN"/>
        </w:rPr>
        <w:t>同为一个单位负责人；</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（4）与本标段的其他</w:t>
      </w:r>
      <w:r>
        <w:rPr>
          <w:rFonts w:hint="eastAsia" w:ascii="宋体" w:hAnsi="宋体" w:cs="Times New Roman"/>
          <w:szCs w:val="21"/>
          <w:highlight w:val="none"/>
          <w:lang w:val="en-US" w:eastAsia="zh-CN"/>
        </w:rPr>
        <w:t>磋商响应人</w:t>
      </w:r>
      <w:r>
        <w:rPr>
          <w:rFonts w:hint="eastAsia" w:ascii="宋体" w:hAnsi="宋体" w:eastAsia="宋体" w:cs="Times New Roman"/>
          <w:szCs w:val="21"/>
          <w:highlight w:val="none"/>
          <w:lang w:val="en-US" w:eastAsia="zh-CN"/>
        </w:rPr>
        <w:t>存在控股、管理关系；</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（5）为本标段前期准备提供设计或咨询服务的法人或其任何附属机构（单位）；</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（6）为本标段的监理人；</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（7）为本标段的代建人；</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（8）为本标段的采购代理机构；</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（9）与本标段的监理人或代建人或采购代理机构同为一个法定代表人；</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（10）与本标段的监理人或代建人或采购代理机构存在控股或参股关系；</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（11）法律法规或</w:t>
      </w:r>
      <w:r>
        <w:rPr>
          <w:rFonts w:hint="eastAsia" w:ascii="宋体" w:hAnsi="宋体" w:cs="Times New Roman"/>
          <w:szCs w:val="21"/>
          <w:highlight w:val="none"/>
          <w:lang w:val="en-US" w:eastAsia="zh-CN"/>
        </w:rPr>
        <w:t>磋商响应人</w:t>
      </w:r>
      <w:r>
        <w:rPr>
          <w:rFonts w:hint="eastAsia" w:ascii="宋体" w:hAnsi="宋体" w:eastAsia="宋体" w:cs="Times New Roman"/>
          <w:szCs w:val="21"/>
          <w:highlight w:val="none"/>
          <w:lang w:val="en-US" w:eastAsia="zh-CN"/>
        </w:rPr>
        <w:t>须知前附表规定的其他情形。</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 xml:space="preserve">.2 </w:t>
      </w:r>
      <w:r>
        <w:rPr>
          <w:rFonts w:hint="eastAsia" w:ascii="宋体" w:hAnsi="宋体" w:cs="Times New Roman"/>
          <w:szCs w:val="21"/>
          <w:highlight w:val="none"/>
          <w:lang w:val="en-US" w:eastAsia="zh-CN"/>
        </w:rPr>
        <w:t>磋商</w:t>
      </w:r>
      <w:r>
        <w:rPr>
          <w:rFonts w:hint="eastAsia" w:ascii="宋体" w:hAnsi="宋体" w:eastAsia="宋体" w:cs="Times New Roman"/>
          <w:szCs w:val="21"/>
          <w:highlight w:val="none"/>
          <w:lang w:val="en-US" w:eastAsia="zh-CN"/>
        </w:rPr>
        <w:t>响应人（包括联合体各成员）不得存在下列不良状况或不良信用记录：</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（1）被县级及以上建设行政主管部门/房屋建筑和市政基础设施工程招标投标活动的监督部门暂停或取消本次招标项目工程所在地或公共资源交易平台所在地的投标资格，且处于有效期内；</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（2）在最近三年内（自投标截止之日向前追溯3年，下同）有重大工程质量事故或重大生产安全事故的（以相关行业主管部门的行政处罚决定或司法机关出具的有关法律文书为准）；</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在最近三年内（自投标截止之日向前追溯3年，下同）有骗取中标或严重违约的（以相关行业主管部门的行政处罚决定或司法机关出具的有关法律文书为准）；</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（3）被责令停业，暂扣或吊销执照、安全生产许可证，或吊销资质证书；</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（4）进入清算程序，或被宣告破产，或其他丧失履约能力的情形；</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（5）在国家企业信用信息公示系统（http://www.gsxt.gov.cn/）中被列入严重违法失信企业名单；</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（6）在“信用中国”网站（http://www.creditchina.gov.cn/）中被列入失信被执行人名单；</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（7）在“信用中国”网站（http://www.creditchina.gov.cn/）中被列入重大税收违法案件当事人名单；</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（8）在近三年内</w:t>
      </w:r>
      <w:r>
        <w:rPr>
          <w:rFonts w:hint="eastAsia" w:ascii="宋体" w:hAnsi="宋体" w:cs="Times New Roman"/>
          <w:szCs w:val="21"/>
          <w:highlight w:val="none"/>
          <w:lang w:val="en-US" w:eastAsia="zh-CN"/>
        </w:rPr>
        <w:t>磋商响应人</w:t>
      </w:r>
      <w:r>
        <w:rPr>
          <w:rFonts w:hint="eastAsia" w:ascii="宋体" w:hAnsi="宋体" w:eastAsia="宋体" w:cs="Times New Roman"/>
          <w:szCs w:val="21"/>
          <w:highlight w:val="none"/>
          <w:lang w:val="en-US" w:eastAsia="zh-CN"/>
        </w:rPr>
        <w:t>或其法定代表人、拟委任的项目经理有行贿犯罪行为的；</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（9）被人力资源社会保障行政部门列入拖欠农民工工资“黑名单”；</w:t>
      </w:r>
    </w:p>
    <w:p>
      <w:pPr>
        <w:spacing w:line="54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（10）法律法规或</w:t>
      </w:r>
      <w:r>
        <w:rPr>
          <w:rFonts w:hint="eastAsia" w:ascii="宋体" w:hAnsi="宋体" w:cs="Times New Roman"/>
          <w:szCs w:val="21"/>
          <w:highlight w:val="none"/>
          <w:lang w:val="en-US" w:eastAsia="zh-CN"/>
        </w:rPr>
        <w:t>磋商响应人</w:t>
      </w:r>
      <w:r>
        <w:rPr>
          <w:rFonts w:hint="eastAsia" w:ascii="宋体" w:hAnsi="宋体" w:eastAsia="宋体" w:cs="Times New Roman"/>
          <w:szCs w:val="21"/>
          <w:highlight w:val="none"/>
          <w:lang w:val="en-US" w:eastAsia="zh-CN"/>
        </w:rPr>
        <w:t>须知前附表规定的其他情形。</w:t>
      </w:r>
    </w:p>
    <w:p>
      <w:pPr>
        <w:spacing w:line="54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3</w:t>
      </w:r>
      <w:r>
        <w:rPr>
          <w:rFonts w:hint="eastAsia" w:ascii="宋体" w:hAnsi="宋体"/>
          <w:szCs w:val="21"/>
          <w:highlight w:val="none"/>
        </w:rPr>
        <w:t>、供应商必须确保自己信息真实、准确，否则，供应商因此蒙受损失，采购单位概不负责。</w:t>
      </w:r>
    </w:p>
    <w:p>
      <w:pPr>
        <w:spacing w:line="540" w:lineRule="exact"/>
        <w:ind w:firstLine="422" w:firstLineChars="200"/>
        <w:rPr>
          <w:rFonts w:ascii="宋体" w:hAnsi="宋体"/>
          <w:szCs w:val="21"/>
          <w:highlight w:val="none"/>
        </w:rPr>
      </w:pPr>
      <w:r>
        <w:rPr>
          <w:rFonts w:ascii="宋体" w:hAnsi="宋体"/>
          <w:b/>
          <w:bCs/>
          <w:szCs w:val="21"/>
          <w:highlight w:val="none"/>
        </w:rPr>
        <w:t>4</w:t>
      </w:r>
      <w:r>
        <w:rPr>
          <w:rFonts w:hint="eastAsia" w:ascii="宋体" w:hAnsi="宋体"/>
          <w:b/>
          <w:bCs/>
          <w:szCs w:val="21"/>
          <w:highlight w:val="none"/>
        </w:rPr>
        <w:t>、踏勘现场：</w:t>
      </w:r>
      <w:r>
        <w:rPr>
          <w:rFonts w:hint="eastAsia" w:ascii="宋体" w:hAnsi="宋体"/>
          <w:szCs w:val="21"/>
          <w:highlight w:val="none"/>
          <w:lang w:eastAsia="zh-CN"/>
        </w:rPr>
        <w:t>供应商</w:t>
      </w:r>
      <w:r>
        <w:rPr>
          <w:rFonts w:hint="eastAsia" w:ascii="宋体" w:hAnsi="宋体"/>
          <w:szCs w:val="21"/>
          <w:highlight w:val="none"/>
        </w:rPr>
        <w:t>应按照</w:t>
      </w:r>
      <w:r>
        <w:rPr>
          <w:rFonts w:hint="eastAsia" w:ascii="宋体" w:hAnsi="宋体"/>
          <w:szCs w:val="21"/>
          <w:highlight w:val="none"/>
          <w:lang w:eastAsia="zh-CN"/>
        </w:rPr>
        <w:t>竞争性磋商文件</w:t>
      </w:r>
      <w:r>
        <w:rPr>
          <w:rFonts w:hint="eastAsia" w:ascii="宋体" w:hAnsi="宋体"/>
          <w:szCs w:val="21"/>
          <w:highlight w:val="none"/>
        </w:rPr>
        <w:t>所述，自行对工程现场及周围环境进行踏勘以获得有关编制</w:t>
      </w:r>
      <w:r>
        <w:rPr>
          <w:rFonts w:hint="eastAsia" w:ascii="宋体" w:hAnsi="宋体"/>
          <w:szCs w:val="21"/>
          <w:highlight w:val="none"/>
          <w:lang w:eastAsia="zh-CN"/>
        </w:rPr>
        <w:t>磋商响应文件</w:t>
      </w:r>
      <w:r>
        <w:rPr>
          <w:rFonts w:hint="eastAsia" w:ascii="宋体" w:hAnsi="宋体"/>
          <w:szCs w:val="21"/>
          <w:highlight w:val="none"/>
        </w:rPr>
        <w:t>和签署合同所涉及现场的资料。踏勘现场所发生的自身费用由</w:t>
      </w:r>
      <w:r>
        <w:rPr>
          <w:rFonts w:hint="eastAsia" w:ascii="宋体" w:hAnsi="宋体"/>
          <w:szCs w:val="21"/>
          <w:highlight w:val="none"/>
          <w:lang w:eastAsia="zh-CN"/>
        </w:rPr>
        <w:t>供应商</w:t>
      </w:r>
      <w:r>
        <w:rPr>
          <w:rFonts w:hint="eastAsia" w:ascii="宋体" w:hAnsi="宋体"/>
          <w:szCs w:val="21"/>
          <w:highlight w:val="none"/>
        </w:rPr>
        <w:t>自己承担。经采购人允许，</w:t>
      </w:r>
      <w:r>
        <w:rPr>
          <w:rFonts w:hint="eastAsia" w:ascii="宋体" w:hAnsi="宋体"/>
          <w:szCs w:val="21"/>
          <w:highlight w:val="none"/>
          <w:lang w:eastAsia="zh-CN"/>
        </w:rPr>
        <w:t>供应商</w:t>
      </w:r>
      <w:r>
        <w:rPr>
          <w:rFonts w:hint="eastAsia" w:ascii="宋体" w:hAnsi="宋体"/>
          <w:szCs w:val="21"/>
          <w:highlight w:val="none"/>
        </w:rPr>
        <w:t>可为踏勘目的进入采购人的项目现场，但</w:t>
      </w:r>
      <w:r>
        <w:rPr>
          <w:rFonts w:hint="eastAsia" w:ascii="宋体" w:hAnsi="宋体"/>
          <w:szCs w:val="21"/>
          <w:highlight w:val="none"/>
          <w:lang w:eastAsia="zh-CN"/>
        </w:rPr>
        <w:t>供应商</w:t>
      </w:r>
      <w:r>
        <w:rPr>
          <w:rFonts w:hint="eastAsia" w:ascii="宋体" w:hAnsi="宋体"/>
          <w:szCs w:val="21"/>
          <w:highlight w:val="none"/>
        </w:rPr>
        <w:t>不得因此使采购人承担有关的责任和蒙受损失。</w:t>
      </w:r>
      <w:r>
        <w:rPr>
          <w:rFonts w:hint="eastAsia" w:ascii="宋体" w:hAnsi="宋体"/>
          <w:szCs w:val="21"/>
          <w:highlight w:val="none"/>
          <w:lang w:eastAsia="zh-CN"/>
        </w:rPr>
        <w:t>供应商</w:t>
      </w:r>
      <w:r>
        <w:rPr>
          <w:rFonts w:hint="eastAsia" w:ascii="宋体" w:hAnsi="宋体"/>
          <w:szCs w:val="21"/>
          <w:highlight w:val="none"/>
        </w:rPr>
        <w:t>应承担踏勘现场的责任和风险。</w:t>
      </w:r>
    </w:p>
    <w:p>
      <w:pPr>
        <w:spacing w:line="540" w:lineRule="exact"/>
        <w:ind w:firstLine="420" w:firstLineChars="200"/>
        <w:rPr>
          <w:rFonts w:ascii="宋体" w:hAnsi="宋体"/>
          <w:szCs w:val="21"/>
          <w:highlight w:val="none"/>
          <w:lang w:val="zh-CN"/>
        </w:rPr>
      </w:pPr>
      <w:r>
        <w:rPr>
          <w:rFonts w:ascii="宋体" w:hAnsi="宋体"/>
          <w:szCs w:val="21"/>
          <w:highlight w:val="none"/>
          <w:lang w:val="zh-CN"/>
        </w:rPr>
        <w:t>5</w:t>
      </w:r>
      <w:r>
        <w:rPr>
          <w:rFonts w:hint="eastAsia" w:ascii="宋体" w:hAnsi="宋体"/>
          <w:szCs w:val="21"/>
          <w:highlight w:val="none"/>
          <w:lang w:val="zh-CN"/>
        </w:rPr>
        <w:t>、联合体磋商：</w:t>
      </w:r>
    </w:p>
    <w:p>
      <w:pPr>
        <w:spacing w:line="540" w:lineRule="exact"/>
        <w:ind w:firstLine="420" w:firstLineChars="200"/>
        <w:rPr>
          <w:rFonts w:ascii="宋体" w:hAnsi="宋体"/>
          <w:szCs w:val="21"/>
          <w:highlight w:val="none"/>
        </w:rPr>
      </w:pPr>
      <w:r>
        <w:rPr>
          <w:rFonts w:hint="eastAsia" w:ascii="宋体" w:hAnsi="宋体"/>
          <w:szCs w:val="21"/>
          <w:highlight w:val="none"/>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highlight w:val="none"/>
        </w:rPr>
      </w:pPr>
      <w:r>
        <w:rPr>
          <w:rFonts w:hint="eastAsia" w:ascii="宋体" w:hAnsi="宋体"/>
          <w:szCs w:val="21"/>
          <w:highlight w:val="none"/>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highlight w:val="none"/>
        </w:rPr>
      </w:pPr>
      <w:r>
        <w:rPr>
          <w:rFonts w:hint="eastAsia" w:ascii="宋体" w:hAnsi="宋体"/>
          <w:szCs w:val="21"/>
          <w:highlight w:val="none"/>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highlight w:val="none"/>
          <w:lang w:val="zh-CN"/>
        </w:rPr>
      </w:pPr>
      <w:bookmarkStart w:id="73" w:name="_Toc439316875"/>
      <w:bookmarkStart w:id="74" w:name="_Toc439316921"/>
      <w:r>
        <w:rPr>
          <w:rFonts w:ascii="宋体" w:hAnsi="宋体"/>
          <w:szCs w:val="21"/>
          <w:highlight w:val="none"/>
        </w:rPr>
        <w:t>6</w:t>
      </w:r>
      <w:r>
        <w:rPr>
          <w:rFonts w:hint="eastAsia" w:ascii="宋体" w:hAnsi="宋体"/>
          <w:szCs w:val="21"/>
          <w:highlight w:val="none"/>
        </w:rPr>
        <w:t>、</w:t>
      </w:r>
      <w:r>
        <w:rPr>
          <w:rFonts w:hint="eastAsia" w:ascii="宋体" w:hAnsi="宋体"/>
          <w:szCs w:val="21"/>
          <w:highlight w:val="none"/>
          <w:lang w:val="zh-CN"/>
        </w:rPr>
        <w:t>磋商费用：供应商必须自行承担参加磋商所有费用，无论成交与否，采购单位在任何情况下均无义务和责任承担这些费用。</w:t>
      </w:r>
      <w:bookmarkEnd w:id="73"/>
      <w:bookmarkEnd w:id="74"/>
    </w:p>
    <w:p>
      <w:pPr>
        <w:autoSpaceDE w:val="0"/>
        <w:autoSpaceDN w:val="0"/>
        <w:adjustRightInd w:val="0"/>
        <w:snapToGrid w:val="0"/>
        <w:spacing w:line="480" w:lineRule="exact"/>
        <w:ind w:firstLine="420"/>
        <w:outlineLvl w:val="2"/>
        <w:rPr>
          <w:rFonts w:ascii="宋体"/>
          <w:b/>
          <w:bCs/>
          <w:szCs w:val="21"/>
          <w:highlight w:val="none"/>
          <w:lang w:val="zh-CN"/>
        </w:rPr>
      </w:pPr>
      <w:bookmarkStart w:id="75" w:name="_Toc54941333"/>
      <w:r>
        <w:rPr>
          <w:rFonts w:hint="eastAsia" w:ascii="宋体" w:hAnsi="宋体"/>
          <w:b/>
          <w:bCs/>
          <w:szCs w:val="21"/>
          <w:highlight w:val="none"/>
          <w:lang w:val="zh-CN"/>
        </w:rPr>
        <w:t>二、磋商文件</w:t>
      </w:r>
      <w:bookmarkEnd w:id="75"/>
    </w:p>
    <w:p>
      <w:pPr>
        <w:spacing w:line="480" w:lineRule="exact"/>
        <w:ind w:firstLine="422" w:firstLineChars="200"/>
        <w:rPr>
          <w:rFonts w:ascii="宋体"/>
          <w:b/>
          <w:szCs w:val="21"/>
          <w:highlight w:val="none"/>
        </w:rPr>
      </w:pPr>
      <w:r>
        <w:rPr>
          <w:rFonts w:ascii="宋体" w:hAnsi="宋体"/>
          <w:b/>
          <w:szCs w:val="21"/>
          <w:highlight w:val="none"/>
        </w:rPr>
        <w:t>7</w:t>
      </w:r>
      <w:r>
        <w:rPr>
          <w:rFonts w:hint="eastAsia" w:ascii="宋体" w:hAnsi="宋体"/>
          <w:b/>
          <w:szCs w:val="21"/>
          <w:highlight w:val="none"/>
        </w:rPr>
        <w:t>、磋商文件的构成</w:t>
      </w:r>
    </w:p>
    <w:p>
      <w:pPr>
        <w:spacing w:line="540" w:lineRule="exact"/>
        <w:ind w:firstLine="420" w:firstLineChars="200"/>
        <w:rPr>
          <w:rFonts w:ascii="宋体"/>
          <w:szCs w:val="21"/>
          <w:highlight w:val="none"/>
        </w:rPr>
      </w:pPr>
      <w:r>
        <w:rPr>
          <w:rFonts w:ascii="宋体" w:hAnsi="宋体"/>
          <w:szCs w:val="21"/>
          <w:highlight w:val="none"/>
        </w:rPr>
        <w:t>7.1</w:t>
      </w:r>
      <w:r>
        <w:rPr>
          <w:rFonts w:hint="eastAsia" w:ascii="宋体" w:hAnsi="宋体"/>
          <w:szCs w:val="21"/>
          <w:highlight w:val="none"/>
        </w:rPr>
        <w:t>、磋商文件包括：</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）第一章</w:t>
      </w:r>
      <w:r>
        <w:rPr>
          <w:rFonts w:ascii="宋体" w:hAnsi="宋体"/>
          <w:szCs w:val="21"/>
          <w:highlight w:val="none"/>
        </w:rPr>
        <w:t xml:space="preserve">  </w:t>
      </w:r>
      <w:r>
        <w:rPr>
          <w:rFonts w:hint="eastAsia" w:ascii="宋体" w:hAnsi="宋体"/>
          <w:szCs w:val="21"/>
          <w:highlight w:val="none"/>
        </w:rPr>
        <w:t>竞争性磋商公告；</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）第二章</w:t>
      </w:r>
      <w:r>
        <w:rPr>
          <w:rFonts w:ascii="宋体" w:hAnsi="宋体"/>
          <w:szCs w:val="21"/>
          <w:highlight w:val="none"/>
        </w:rPr>
        <w:t xml:space="preserve">  </w:t>
      </w:r>
      <w:r>
        <w:rPr>
          <w:rFonts w:hint="eastAsia" w:ascii="宋体" w:hAnsi="宋体"/>
          <w:szCs w:val="21"/>
          <w:highlight w:val="none"/>
        </w:rPr>
        <w:t>磋商须知；</w:t>
      </w:r>
    </w:p>
    <w:p>
      <w:pPr>
        <w:spacing w:line="540" w:lineRule="exact"/>
        <w:ind w:firstLine="420" w:firstLineChars="200"/>
        <w:rPr>
          <w:rFonts w:asci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）第</w:t>
      </w:r>
      <w:r>
        <w:rPr>
          <w:rFonts w:hint="eastAsia" w:ascii="宋体" w:hAnsi="宋体"/>
          <w:szCs w:val="21"/>
          <w:highlight w:val="none"/>
          <w:lang w:val="en-US" w:eastAsia="zh-CN"/>
        </w:rPr>
        <w:t>三</w:t>
      </w:r>
      <w:r>
        <w:rPr>
          <w:rFonts w:hint="eastAsia" w:ascii="宋体" w:hAnsi="宋体"/>
          <w:szCs w:val="21"/>
          <w:highlight w:val="none"/>
        </w:rPr>
        <w:t>章</w:t>
      </w:r>
      <w:r>
        <w:rPr>
          <w:rFonts w:ascii="宋体" w:hAnsi="宋体"/>
          <w:szCs w:val="21"/>
          <w:highlight w:val="none"/>
        </w:rPr>
        <w:t xml:space="preserve">  </w:t>
      </w:r>
      <w:r>
        <w:rPr>
          <w:rFonts w:hint="eastAsia" w:ascii="宋体" w:hAnsi="宋体"/>
          <w:szCs w:val="21"/>
          <w:highlight w:val="none"/>
        </w:rPr>
        <w:t>合同主要条款；</w:t>
      </w:r>
    </w:p>
    <w:p>
      <w:pPr>
        <w:spacing w:line="5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）第</w:t>
      </w:r>
      <w:r>
        <w:rPr>
          <w:rFonts w:hint="eastAsia" w:ascii="宋体" w:hAnsi="宋体"/>
          <w:szCs w:val="21"/>
          <w:highlight w:val="none"/>
          <w:lang w:val="en-US" w:eastAsia="zh-CN"/>
        </w:rPr>
        <w:t>四</w:t>
      </w:r>
      <w:r>
        <w:rPr>
          <w:rFonts w:hint="eastAsia" w:ascii="宋体" w:hAnsi="宋体"/>
          <w:szCs w:val="21"/>
          <w:highlight w:val="none"/>
        </w:rPr>
        <w:t>章  响应文件格式；</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w:t>
      </w:r>
      <w:r>
        <w:rPr>
          <w:rFonts w:hint="eastAsia" w:ascii="宋体" w:hAnsi="宋体"/>
          <w:szCs w:val="21"/>
          <w:highlight w:val="none"/>
        </w:rPr>
        <w:t>第</w:t>
      </w:r>
      <w:r>
        <w:rPr>
          <w:rFonts w:hint="eastAsia" w:ascii="宋体" w:hAnsi="宋体"/>
          <w:szCs w:val="21"/>
          <w:highlight w:val="none"/>
          <w:lang w:val="en-US" w:eastAsia="zh-CN"/>
        </w:rPr>
        <w:t>五</w:t>
      </w:r>
      <w:r>
        <w:rPr>
          <w:rFonts w:hint="eastAsia" w:ascii="宋体" w:hAnsi="宋体"/>
          <w:szCs w:val="21"/>
          <w:highlight w:val="none"/>
        </w:rPr>
        <w:t>章</w:t>
      </w:r>
      <w:r>
        <w:rPr>
          <w:rFonts w:hint="eastAsia" w:ascii="宋体" w:hAnsi="宋体"/>
          <w:szCs w:val="21"/>
          <w:highlight w:val="none"/>
          <w:lang w:val="en-US" w:eastAsia="zh-CN"/>
        </w:rPr>
        <w:t xml:space="preserve">  </w:t>
      </w:r>
      <w:r>
        <w:rPr>
          <w:rFonts w:hint="eastAsia" w:ascii="宋体" w:hAnsi="宋体" w:eastAsia="宋体" w:cs="Times New Roman"/>
          <w:szCs w:val="21"/>
          <w:highlight w:val="none"/>
          <w:lang w:val="en-US" w:eastAsia="zh-CN"/>
        </w:rPr>
        <w:t>工程技术经济要求；</w:t>
      </w:r>
    </w:p>
    <w:p>
      <w:pPr>
        <w:spacing w:line="5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w:t>
      </w:r>
      <w:r>
        <w:rPr>
          <w:rFonts w:hint="eastAsia" w:ascii="宋体" w:hAnsi="宋体"/>
          <w:szCs w:val="21"/>
          <w:highlight w:val="none"/>
        </w:rPr>
        <w:t>第</w:t>
      </w:r>
      <w:r>
        <w:rPr>
          <w:rFonts w:hint="eastAsia" w:ascii="宋体" w:hAnsi="宋体"/>
          <w:szCs w:val="21"/>
          <w:highlight w:val="none"/>
          <w:lang w:val="en-US" w:eastAsia="zh-CN"/>
        </w:rPr>
        <w:t>六</w:t>
      </w:r>
      <w:r>
        <w:rPr>
          <w:rFonts w:hint="eastAsia" w:ascii="宋体" w:hAnsi="宋体"/>
          <w:szCs w:val="21"/>
          <w:highlight w:val="none"/>
        </w:rPr>
        <w:t>章</w:t>
      </w:r>
      <w:r>
        <w:rPr>
          <w:rFonts w:hint="eastAsia" w:ascii="宋体" w:hAnsi="宋体"/>
          <w:szCs w:val="21"/>
          <w:highlight w:val="none"/>
          <w:lang w:val="en-US" w:eastAsia="zh-CN"/>
        </w:rPr>
        <w:t xml:space="preserve">  </w:t>
      </w:r>
      <w:r>
        <w:rPr>
          <w:rFonts w:hint="eastAsia" w:ascii="宋体" w:hAnsi="宋体" w:eastAsia="宋体" w:cs="Times New Roman"/>
          <w:szCs w:val="21"/>
          <w:highlight w:val="none"/>
          <w:lang w:val="en-US" w:eastAsia="zh-CN"/>
        </w:rPr>
        <w:t>施工图设计文件；</w:t>
      </w:r>
    </w:p>
    <w:p>
      <w:pPr>
        <w:spacing w:line="54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w:t>
      </w:r>
      <w:r>
        <w:rPr>
          <w:rFonts w:hint="eastAsia" w:ascii="宋体" w:hAnsi="宋体"/>
          <w:szCs w:val="21"/>
          <w:highlight w:val="none"/>
        </w:rPr>
        <w:t>第</w:t>
      </w:r>
      <w:r>
        <w:rPr>
          <w:rFonts w:hint="eastAsia" w:ascii="宋体" w:hAnsi="宋体"/>
          <w:szCs w:val="21"/>
          <w:highlight w:val="none"/>
          <w:lang w:val="en-US" w:eastAsia="zh-CN"/>
        </w:rPr>
        <w:t>七</w:t>
      </w:r>
      <w:r>
        <w:rPr>
          <w:rFonts w:hint="eastAsia" w:ascii="宋体" w:hAnsi="宋体"/>
          <w:szCs w:val="21"/>
          <w:highlight w:val="none"/>
        </w:rPr>
        <w:t>章</w:t>
      </w:r>
      <w:r>
        <w:rPr>
          <w:rFonts w:hint="eastAsia" w:ascii="宋体" w:hAnsi="宋体"/>
          <w:szCs w:val="21"/>
          <w:highlight w:val="none"/>
          <w:lang w:val="en-US" w:eastAsia="zh-CN"/>
        </w:rPr>
        <w:t xml:space="preserve">  </w:t>
      </w:r>
      <w:r>
        <w:rPr>
          <w:rFonts w:hint="eastAsia" w:ascii="宋体" w:hAnsi="宋体" w:eastAsia="宋体" w:cs="Times New Roman"/>
          <w:szCs w:val="21"/>
          <w:highlight w:val="none"/>
          <w:lang w:val="en-US" w:eastAsia="zh-CN"/>
        </w:rPr>
        <w:t>工程量清单；</w:t>
      </w:r>
    </w:p>
    <w:p>
      <w:pPr>
        <w:spacing w:line="540" w:lineRule="exact"/>
        <w:ind w:firstLine="420" w:firstLineChars="200"/>
        <w:rPr>
          <w:rFonts w:ascii="宋体" w:hAnsi="宋体" w:cs="宋体"/>
          <w:color w:val="000000"/>
          <w:szCs w:val="21"/>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）第</w:t>
      </w:r>
      <w:r>
        <w:rPr>
          <w:rFonts w:hint="eastAsia" w:ascii="宋体" w:hAnsi="宋体"/>
          <w:szCs w:val="21"/>
          <w:highlight w:val="none"/>
          <w:lang w:val="en-US" w:eastAsia="zh-CN"/>
        </w:rPr>
        <w:t>八</w:t>
      </w:r>
      <w:r>
        <w:rPr>
          <w:rFonts w:hint="eastAsia" w:ascii="宋体" w:hAnsi="宋体"/>
          <w:szCs w:val="21"/>
          <w:highlight w:val="none"/>
        </w:rPr>
        <w:t>章  政府采购供应商质疑函范本。</w:t>
      </w:r>
    </w:p>
    <w:p>
      <w:pPr>
        <w:spacing w:line="540" w:lineRule="exact"/>
        <w:ind w:firstLine="420" w:firstLineChars="200"/>
        <w:rPr>
          <w:rFonts w:ascii="宋体"/>
          <w:szCs w:val="21"/>
          <w:highlight w:val="none"/>
        </w:rPr>
      </w:pPr>
      <w:r>
        <w:rPr>
          <w:rFonts w:ascii="宋体" w:hAnsi="宋体"/>
          <w:szCs w:val="21"/>
          <w:highlight w:val="none"/>
        </w:rPr>
        <w:t>7.2</w:t>
      </w:r>
      <w:r>
        <w:rPr>
          <w:rFonts w:hint="eastAsia" w:ascii="宋体" w:hAnsi="宋体"/>
          <w:szCs w:val="21"/>
          <w:highlight w:val="none"/>
        </w:rPr>
        <w:t>、供应商应认真阅读和充分理解磋商文件中所有的内容。如果供应商没有满足磋商文件的有关要求，其风险由供应商自行承担。</w:t>
      </w:r>
    </w:p>
    <w:p>
      <w:pPr>
        <w:spacing w:line="540" w:lineRule="exact"/>
        <w:ind w:firstLine="420" w:firstLineChars="200"/>
        <w:rPr>
          <w:rFonts w:ascii="宋体"/>
          <w:b w:val="0"/>
          <w:bCs w:val="0"/>
          <w:szCs w:val="21"/>
          <w:highlight w:val="none"/>
        </w:rPr>
      </w:pPr>
      <w:r>
        <w:rPr>
          <w:rFonts w:ascii="宋体" w:hAnsi="宋体"/>
          <w:szCs w:val="21"/>
          <w:highlight w:val="none"/>
        </w:rPr>
        <w:t>7.3</w:t>
      </w:r>
      <w:r>
        <w:rPr>
          <w:rFonts w:hint="eastAsia" w:ascii="宋体" w:hAnsi="宋体"/>
          <w:szCs w:val="21"/>
          <w:highlight w:val="none"/>
        </w:rPr>
        <w:t>、</w:t>
      </w:r>
      <w:r>
        <w:rPr>
          <w:rFonts w:hint="eastAsia" w:ascii="宋体" w:hAnsi="宋体"/>
          <w:b w:val="0"/>
          <w:bCs w:val="0"/>
          <w:szCs w:val="21"/>
          <w:highlight w:val="none"/>
        </w:rPr>
        <w:t>供应商获取磋商文件后，应仔细检查磋商文件的所有内容，如有残缺、</w:t>
      </w:r>
      <w:r>
        <w:rPr>
          <w:rFonts w:hint="eastAsia" w:ascii="宋体" w:hAnsi="宋体" w:cs="宋体"/>
          <w:b w:val="0"/>
          <w:bCs w:val="0"/>
          <w:szCs w:val="21"/>
          <w:highlight w:val="none"/>
        </w:rPr>
        <w:t>文本不清晰、</w:t>
      </w:r>
      <w:r>
        <w:rPr>
          <w:rFonts w:hint="eastAsia" w:ascii="宋体" w:hAnsi="宋体"/>
          <w:b w:val="0"/>
          <w:bCs w:val="0"/>
          <w:szCs w:val="21"/>
          <w:highlight w:val="none"/>
        </w:rPr>
        <w:t>表述不一致等问题应在获得磋商文件</w:t>
      </w:r>
      <w:r>
        <w:rPr>
          <w:rFonts w:ascii="宋体" w:hAnsi="宋体"/>
          <w:b w:val="0"/>
          <w:bCs w:val="0"/>
          <w:szCs w:val="21"/>
          <w:highlight w:val="none"/>
        </w:rPr>
        <w:t xml:space="preserve">3 </w:t>
      </w:r>
      <w:r>
        <w:rPr>
          <w:rFonts w:hint="eastAsia" w:ascii="宋体" w:hAnsi="宋体"/>
          <w:b w:val="0"/>
          <w:bCs w:val="0"/>
          <w:szCs w:val="21"/>
          <w:highlight w:val="none"/>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highlight w:val="none"/>
        </w:rPr>
      </w:pPr>
      <w:r>
        <w:rPr>
          <w:rFonts w:ascii="宋体" w:hAnsi="宋体"/>
          <w:b/>
          <w:szCs w:val="21"/>
          <w:highlight w:val="none"/>
        </w:rPr>
        <w:t>8</w:t>
      </w:r>
      <w:r>
        <w:rPr>
          <w:rFonts w:hint="eastAsia" w:ascii="宋体" w:hAnsi="宋体"/>
          <w:b/>
          <w:szCs w:val="21"/>
          <w:highlight w:val="none"/>
        </w:rPr>
        <w:t>、磋商文件的澄清</w:t>
      </w:r>
    </w:p>
    <w:p>
      <w:pPr>
        <w:spacing w:line="540" w:lineRule="exact"/>
        <w:ind w:firstLine="420" w:firstLineChars="200"/>
        <w:rPr>
          <w:rFonts w:ascii="宋体"/>
          <w:szCs w:val="21"/>
          <w:highlight w:val="none"/>
        </w:rPr>
      </w:pPr>
      <w:r>
        <w:rPr>
          <w:rFonts w:ascii="宋体" w:hAnsi="宋体"/>
          <w:szCs w:val="21"/>
          <w:highlight w:val="none"/>
        </w:rPr>
        <w:t>8.1</w:t>
      </w:r>
      <w:r>
        <w:rPr>
          <w:rFonts w:hint="eastAsia" w:ascii="宋体" w:hAnsi="宋体"/>
          <w:szCs w:val="21"/>
          <w:highlight w:val="none"/>
        </w:rPr>
        <w:t>、供应商可以通过电子交易系统要求采购单位对磋商文件中的有关问题进行答疑或澄清。</w:t>
      </w:r>
    </w:p>
    <w:p>
      <w:pPr>
        <w:spacing w:line="540" w:lineRule="exact"/>
        <w:ind w:firstLine="420" w:firstLineChars="200"/>
        <w:rPr>
          <w:rFonts w:ascii="宋体"/>
          <w:szCs w:val="21"/>
          <w:highlight w:val="none"/>
        </w:rPr>
      </w:pPr>
      <w:r>
        <w:rPr>
          <w:rFonts w:ascii="宋体" w:hAnsi="宋体"/>
          <w:szCs w:val="21"/>
          <w:highlight w:val="none"/>
        </w:rPr>
        <w:t>8.</w:t>
      </w:r>
      <w:r>
        <w:rPr>
          <w:rFonts w:hint="eastAsia" w:ascii="宋体" w:hAnsi="宋体"/>
          <w:szCs w:val="21"/>
          <w:highlight w:val="none"/>
        </w:rPr>
        <w:t>2、采购单位对在约定时间收到的、且需要做出澄清的问题，将以本须知所述方式进行答复，但不说明问题的来源。</w:t>
      </w:r>
    </w:p>
    <w:p>
      <w:pPr>
        <w:spacing w:line="360" w:lineRule="auto"/>
        <w:ind w:firstLine="422" w:firstLineChars="200"/>
        <w:rPr>
          <w:rFonts w:ascii="宋体"/>
          <w:b/>
          <w:szCs w:val="21"/>
          <w:highlight w:val="none"/>
        </w:rPr>
      </w:pPr>
      <w:r>
        <w:rPr>
          <w:rFonts w:ascii="宋体" w:hAnsi="宋体"/>
          <w:b/>
          <w:szCs w:val="21"/>
          <w:highlight w:val="none"/>
        </w:rPr>
        <w:t>9</w:t>
      </w:r>
      <w:r>
        <w:rPr>
          <w:rFonts w:hint="eastAsia" w:ascii="宋体" w:hAnsi="宋体"/>
          <w:b/>
          <w:szCs w:val="21"/>
          <w:highlight w:val="none"/>
        </w:rPr>
        <w:t>、磋商文件的修改</w:t>
      </w:r>
    </w:p>
    <w:p>
      <w:pPr>
        <w:spacing w:line="540" w:lineRule="exact"/>
        <w:ind w:firstLine="420" w:firstLineChars="200"/>
        <w:rPr>
          <w:rFonts w:ascii="宋体"/>
          <w:szCs w:val="21"/>
          <w:highlight w:val="none"/>
        </w:rPr>
      </w:pPr>
      <w:r>
        <w:rPr>
          <w:rFonts w:ascii="宋体" w:hAnsi="宋体"/>
          <w:szCs w:val="21"/>
          <w:highlight w:val="none"/>
        </w:rPr>
        <w:t>9.1</w:t>
      </w:r>
      <w:r>
        <w:rPr>
          <w:rFonts w:hint="eastAsia" w:ascii="宋体" w:hAnsi="宋体"/>
          <w:szCs w:val="21"/>
          <w:highlight w:val="none"/>
        </w:rPr>
        <w:t>、采购单位可以对磋商文件进行修改。</w:t>
      </w:r>
    </w:p>
    <w:p>
      <w:pPr>
        <w:spacing w:line="540" w:lineRule="exact"/>
        <w:ind w:firstLine="420" w:firstLineChars="200"/>
        <w:rPr>
          <w:rFonts w:ascii="宋体"/>
          <w:szCs w:val="21"/>
          <w:highlight w:val="none"/>
        </w:rPr>
      </w:pPr>
      <w:r>
        <w:rPr>
          <w:rFonts w:ascii="宋体" w:hAnsi="宋体"/>
          <w:szCs w:val="21"/>
          <w:highlight w:val="none"/>
        </w:rPr>
        <w:t>9.2</w:t>
      </w:r>
      <w:r>
        <w:rPr>
          <w:rFonts w:hint="eastAsia" w:ascii="宋体" w:hAnsi="宋体"/>
          <w:szCs w:val="21"/>
          <w:highlight w:val="none"/>
        </w:rPr>
        <w:t>、采购单位对磋商文件的澄清、修改、补充说明等内容</w:t>
      </w:r>
      <w:r>
        <w:rPr>
          <w:rFonts w:hint="eastAsia" w:ascii="宋体" w:hAnsi="宋体"/>
          <w:b/>
          <w:bCs/>
          <w:szCs w:val="21"/>
          <w:highlight w:val="none"/>
        </w:rPr>
        <w:t>均通过安庆市公共资源交易服务网发布，该修改内容作为磋商文件的组成部分，具有约束作用</w:t>
      </w:r>
      <w:r>
        <w:rPr>
          <w:rFonts w:hint="eastAsia" w:ascii="宋体" w:hAnsi="宋体"/>
          <w:szCs w:val="21"/>
          <w:highlight w:val="none"/>
        </w:rPr>
        <w:t>。</w:t>
      </w:r>
    </w:p>
    <w:p>
      <w:pPr>
        <w:spacing w:line="540" w:lineRule="exact"/>
        <w:ind w:firstLine="420" w:firstLineChars="200"/>
        <w:rPr>
          <w:rFonts w:ascii="宋体"/>
          <w:szCs w:val="21"/>
          <w:highlight w:val="none"/>
        </w:rPr>
      </w:pPr>
      <w:r>
        <w:rPr>
          <w:rFonts w:ascii="宋体" w:hAnsi="宋体"/>
          <w:szCs w:val="21"/>
          <w:highlight w:val="none"/>
        </w:rPr>
        <w:t>9.3</w:t>
      </w:r>
      <w:r>
        <w:rPr>
          <w:rFonts w:hint="eastAsia" w:ascii="宋体" w:hAnsi="宋体"/>
          <w:szCs w:val="21"/>
          <w:highlight w:val="none"/>
        </w:rPr>
        <w:t>、当磋商文件与对磋商文件的澄清、修改、补充等在同一内容的表述上不一致时，以最后发出的为准。</w:t>
      </w:r>
    </w:p>
    <w:p>
      <w:pPr>
        <w:spacing w:line="540" w:lineRule="exact"/>
        <w:ind w:firstLine="420" w:firstLineChars="200"/>
        <w:rPr>
          <w:rFonts w:hint="eastAsia" w:ascii="宋体" w:hAnsi="宋体" w:eastAsia="宋体" w:cs="Times New Roman"/>
          <w:szCs w:val="21"/>
          <w:highlight w:val="none"/>
        </w:rPr>
      </w:pPr>
      <w:r>
        <w:rPr>
          <w:rFonts w:ascii="宋体" w:hAnsi="宋体"/>
          <w:szCs w:val="21"/>
          <w:highlight w:val="none"/>
        </w:rPr>
        <w:t>9.4</w:t>
      </w:r>
      <w:r>
        <w:rPr>
          <w:rFonts w:hint="eastAsia" w:ascii="宋体" w:hAnsi="宋体"/>
          <w:szCs w:val="21"/>
          <w:highlight w:val="none"/>
        </w:rPr>
        <w:t>、为使供应商有充分时间对磋商文件的澄清、修改、补充部分进行研究、或是由于</w:t>
      </w:r>
      <w:r>
        <w:rPr>
          <w:rFonts w:hint="eastAsia" w:ascii="宋体" w:hAnsi="宋体" w:eastAsia="宋体" w:cs="Times New Roman"/>
          <w:szCs w:val="21"/>
          <w:highlight w:val="none"/>
        </w:rPr>
        <w:t>其他原因，采购单位可以决定顺延磋商时间，具体时间通过安庆市公共资源交易服务网发布。</w:t>
      </w:r>
    </w:p>
    <w:p>
      <w:pPr>
        <w:spacing w:line="54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lang w:val="en-US" w:eastAsia="zh-CN"/>
        </w:rPr>
        <w:t>9.5、</w:t>
      </w:r>
      <w:r>
        <w:rPr>
          <w:rFonts w:hint="eastAsia" w:ascii="宋体" w:hAnsi="宋体" w:cs="Times New Roman"/>
          <w:szCs w:val="21"/>
          <w:highlight w:val="none"/>
          <w:lang w:eastAsia="zh-CN"/>
        </w:rPr>
        <w:t>供应商</w:t>
      </w:r>
      <w:r>
        <w:rPr>
          <w:rFonts w:hint="eastAsia" w:ascii="宋体" w:hAnsi="宋体" w:eastAsia="宋体" w:cs="Times New Roman"/>
          <w:szCs w:val="21"/>
          <w:highlight w:val="none"/>
        </w:rPr>
        <w:t>对工程量清单中工程量提出问题的，必须附计算书，并随时准备接受采购人组织的核对。不能提供计算书或不能按要求参加核对的，采购人对此问题不予受理，以后也不再调整工程量清单。</w:t>
      </w:r>
    </w:p>
    <w:p>
      <w:pPr>
        <w:pStyle w:val="5"/>
        <w:numPr>
          <w:ilvl w:val="0"/>
          <w:numId w:val="8"/>
        </w:numPr>
        <w:wordWrap/>
        <w:spacing w:line="360" w:lineRule="auto"/>
        <w:ind w:firstLine="413" w:firstLineChars="196"/>
        <w:rPr>
          <w:highlight w:val="none"/>
        </w:rPr>
      </w:pPr>
      <w:bookmarkStart w:id="76" w:name="_Toc54941334"/>
      <w:bookmarkStart w:id="77" w:name="_Toc31936"/>
      <w:r>
        <w:rPr>
          <w:rFonts w:hint="eastAsia"/>
          <w:highlight w:val="none"/>
        </w:rPr>
        <w:t>响应文件编制</w:t>
      </w:r>
      <w:bookmarkEnd w:id="76"/>
      <w:bookmarkEnd w:id="77"/>
    </w:p>
    <w:p>
      <w:pPr>
        <w:spacing w:line="360" w:lineRule="auto"/>
        <w:ind w:firstLine="422" w:firstLineChars="200"/>
        <w:rPr>
          <w:rFonts w:ascii="宋体"/>
          <w:b/>
          <w:szCs w:val="21"/>
          <w:highlight w:val="none"/>
        </w:rPr>
      </w:pPr>
      <w:r>
        <w:rPr>
          <w:rFonts w:ascii="宋体" w:hAnsi="宋体"/>
          <w:b/>
          <w:szCs w:val="21"/>
          <w:highlight w:val="none"/>
        </w:rPr>
        <w:t>10</w:t>
      </w:r>
      <w:r>
        <w:rPr>
          <w:rFonts w:hint="eastAsia" w:ascii="宋体" w:hAnsi="宋体"/>
          <w:b/>
          <w:szCs w:val="21"/>
          <w:highlight w:val="none"/>
        </w:rPr>
        <w:t>、</w:t>
      </w:r>
      <w:r>
        <w:rPr>
          <w:rFonts w:ascii="宋体" w:hAnsi="宋体"/>
          <w:b/>
          <w:szCs w:val="21"/>
          <w:highlight w:val="none"/>
        </w:rPr>
        <w:t xml:space="preserve"> </w:t>
      </w:r>
      <w:r>
        <w:rPr>
          <w:rFonts w:hint="eastAsia" w:ascii="宋体" w:hAnsi="宋体"/>
          <w:b/>
          <w:szCs w:val="21"/>
          <w:highlight w:val="none"/>
        </w:rPr>
        <w:t>响应的语言及度量衡单位</w:t>
      </w:r>
    </w:p>
    <w:p>
      <w:pPr>
        <w:spacing w:line="360" w:lineRule="auto"/>
        <w:ind w:firstLine="420" w:firstLineChars="200"/>
        <w:rPr>
          <w:rFonts w:ascii="宋体"/>
          <w:szCs w:val="21"/>
          <w:highlight w:val="none"/>
        </w:rPr>
      </w:pPr>
      <w:r>
        <w:rPr>
          <w:rFonts w:ascii="宋体" w:hAnsi="宋体"/>
          <w:szCs w:val="21"/>
          <w:highlight w:val="none"/>
        </w:rPr>
        <w:t>10.1</w:t>
      </w:r>
      <w:r>
        <w:rPr>
          <w:rFonts w:hint="eastAsia" w:ascii="宋体" w:hAnsi="宋体"/>
          <w:szCs w:val="21"/>
          <w:highlight w:val="none"/>
        </w:rPr>
        <w:t>、供应商的响应文件、供应商与采购单位就采购的所有往来函电，均须使用简体中文。</w:t>
      </w:r>
    </w:p>
    <w:p>
      <w:pPr>
        <w:spacing w:line="360" w:lineRule="auto"/>
        <w:ind w:firstLine="420" w:firstLineChars="200"/>
        <w:rPr>
          <w:rFonts w:ascii="宋体"/>
          <w:szCs w:val="21"/>
          <w:highlight w:val="none"/>
        </w:rPr>
      </w:pPr>
      <w:r>
        <w:rPr>
          <w:rFonts w:ascii="宋体" w:hAnsi="宋体"/>
          <w:szCs w:val="21"/>
          <w:highlight w:val="none"/>
        </w:rPr>
        <w:t>10.2</w:t>
      </w:r>
      <w:r>
        <w:rPr>
          <w:rFonts w:hint="eastAsia" w:ascii="宋体" w:hAnsi="宋体"/>
          <w:szCs w:val="21"/>
          <w:highlight w:val="none"/>
        </w:rPr>
        <w:t>、除磋商文件中另有约定外，响应文件所使用的度量衡均须采用中华人民共和国法定计量单位。</w:t>
      </w:r>
    </w:p>
    <w:p>
      <w:pPr>
        <w:numPr>
          <w:ilvl w:val="0"/>
          <w:numId w:val="9"/>
        </w:numPr>
        <w:spacing w:line="360" w:lineRule="auto"/>
        <w:ind w:firstLine="422" w:firstLineChars="200"/>
        <w:rPr>
          <w:rFonts w:ascii="宋体"/>
          <w:b/>
          <w:szCs w:val="21"/>
          <w:highlight w:val="none"/>
        </w:rPr>
      </w:pPr>
      <w:r>
        <w:rPr>
          <w:rFonts w:ascii="宋体" w:hAnsi="宋体"/>
          <w:b/>
          <w:szCs w:val="21"/>
          <w:highlight w:val="none"/>
        </w:rPr>
        <w:t xml:space="preserve"> </w:t>
      </w:r>
      <w:r>
        <w:rPr>
          <w:rFonts w:hint="eastAsia" w:ascii="宋体" w:hAnsi="宋体"/>
          <w:b/>
          <w:szCs w:val="21"/>
          <w:highlight w:val="none"/>
        </w:rPr>
        <w:t>响应文件的构成</w:t>
      </w:r>
    </w:p>
    <w:p>
      <w:pPr>
        <w:spacing w:line="360" w:lineRule="auto"/>
        <w:ind w:firstLine="420" w:firstLineChars="200"/>
        <w:rPr>
          <w:rFonts w:ascii="宋体"/>
          <w:szCs w:val="21"/>
          <w:highlight w:val="none"/>
        </w:rPr>
      </w:pPr>
      <w:r>
        <w:rPr>
          <w:rFonts w:ascii="宋体" w:hAnsi="宋体"/>
          <w:szCs w:val="21"/>
          <w:highlight w:val="none"/>
        </w:rPr>
        <w:t>11.1</w:t>
      </w:r>
      <w:r>
        <w:rPr>
          <w:rFonts w:hint="eastAsia" w:ascii="宋体" w:hAnsi="宋体"/>
          <w:szCs w:val="21"/>
          <w:highlight w:val="none"/>
        </w:rPr>
        <w:t>、响应文件应该按照“响应文件格式”约定的内容和顺序进行编写。</w:t>
      </w:r>
    </w:p>
    <w:p>
      <w:pPr>
        <w:spacing w:line="360" w:lineRule="auto"/>
        <w:ind w:firstLine="420" w:firstLineChars="200"/>
        <w:rPr>
          <w:rFonts w:ascii="宋体"/>
          <w:szCs w:val="21"/>
          <w:highlight w:val="none"/>
        </w:rPr>
      </w:pPr>
      <w:r>
        <w:rPr>
          <w:rFonts w:ascii="宋体" w:hAnsi="宋体"/>
          <w:szCs w:val="21"/>
          <w:highlight w:val="none"/>
        </w:rPr>
        <w:t>11.2</w:t>
      </w:r>
      <w:r>
        <w:rPr>
          <w:rFonts w:hint="eastAsia" w:ascii="宋体" w:hAnsi="宋体"/>
          <w:szCs w:val="21"/>
          <w:highlight w:val="none"/>
        </w:rPr>
        <w:t>、</w:t>
      </w:r>
      <w:r>
        <w:rPr>
          <w:rFonts w:hint="eastAsia" w:ascii="宋体" w:hAnsi="宋体"/>
          <w:color w:val="000000"/>
          <w:szCs w:val="21"/>
          <w:highlight w:val="none"/>
        </w:rPr>
        <w:t>供应商应提交“磋商须知前附表”中约定的磋商响应文件。</w:t>
      </w:r>
    </w:p>
    <w:p>
      <w:pPr>
        <w:spacing w:line="360" w:lineRule="auto"/>
        <w:ind w:firstLine="420" w:firstLineChars="200"/>
        <w:rPr>
          <w:rFonts w:ascii="宋体"/>
          <w:szCs w:val="21"/>
          <w:highlight w:val="none"/>
        </w:rPr>
      </w:pPr>
      <w:r>
        <w:rPr>
          <w:rFonts w:ascii="宋体" w:hAnsi="宋体"/>
          <w:szCs w:val="21"/>
          <w:highlight w:val="none"/>
        </w:rPr>
        <w:t>11.3</w:t>
      </w:r>
      <w:r>
        <w:rPr>
          <w:rFonts w:hint="eastAsia" w:ascii="宋体" w:hAnsi="宋体"/>
          <w:szCs w:val="21"/>
          <w:highlight w:val="none"/>
        </w:rPr>
        <w:t>、供应商必须对其响应文件的真实性与准确性负责。供应商一旦成交，其响应文件将作为合同的重要组成部分。</w:t>
      </w:r>
    </w:p>
    <w:p>
      <w:pPr>
        <w:spacing w:line="360" w:lineRule="auto"/>
        <w:ind w:firstLine="420" w:firstLineChars="200"/>
        <w:rPr>
          <w:rFonts w:ascii="宋体"/>
          <w:szCs w:val="21"/>
          <w:highlight w:val="none"/>
        </w:rPr>
      </w:pPr>
      <w:r>
        <w:rPr>
          <w:rFonts w:ascii="宋体" w:hAnsi="宋体"/>
          <w:szCs w:val="21"/>
          <w:highlight w:val="none"/>
        </w:rPr>
        <w:t>11.4</w:t>
      </w:r>
      <w:r>
        <w:rPr>
          <w:rFonts w:hint="eastAsia" w:ascii="宋体" w:hAnsi="宋体"/>
          <w:szCs w:val="21"/>
          <w:highlight w:val="none"/>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highlight w:val="none"/>
        </w:rPr>
      </w:pPr>
      <w:r>
        <w:rPr>
          <w:rFonts w:ascii="宋体" w:hAnsi="宋体" w:cs="宋体"/>
          <w:b/>
          <w:szCs w:val="21"/>
          <w:highlight w:val="none"/>
        </w:rPr>
        <w:t>12</w:t>
      </w:r>
      <w:r>
        <w:rPr>
          <w:rFonts w:hint="eastAsia" w:ascii="宋体" w:hAnsi="宋体" w:cs="宋体"/>
          <w:b/>
          <w:szCs w:val="21"/>
          <w:highlight w:val="none"/>
        </w:rPr>
        <w:t>、磋商响应报价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w:t>
      </w:r>
      <w:r>
        <w:rPr>
          <w:rFonts w:hint="eastAsia" w:ascii="宋体" w:hAnsi="宋体" w:cs="宋体"/>
          <w:szCs w:val="21"/>
          <w:highlight w:val="none"/>
          <w:lang w:eastAsia="zh-CN"/>
        </w:rPr>
        <w:t>供应商</w:t>
      </w:r>
      <w:r>
        <w:rPr>
          <w:rFonts w:hint="eastAsia" w:ascii="宋体" w:hAnsi="宋体" w:cs="宋体"/>
          <w:szCs w:val="21"/>
          <w:highlight w:val="none"/>
        </w:rPr>
        <w:t>应根据当前建设市场行情，结合工程实际情况及体现本单位的施工方法、材料来源渠道、施工机械装备、施工管理水平等的企业定额，对</w:t>
      </w:r>
      <w:r>
        <w:rPr>
          <w:rFonts w:hint="eastAsia" w:ascii="宋体" w:hAnsi="宋体" w:cs="宋体"/>
          <w:szCs w:val="21"/>
          <w:highlight w:val="none"/>
          <w:lang w:eastAsia="zh-CN"/>
        </w:rPr>
        <w:t>磋商费用</w:t>
      </w:r>
      <w:r>
        <w:rPr>
          <w:rFonts w:hint="eastAsia" w:ascii="宋体" w:hAnsi="宋体" w:cs="宋体"/>
          <w:szCs w:val="21"/>
          <w:highlight w:val="none"/>
        </w:rPr>
        <w:t>进行分析、测算，实事求是地确定</w:t>
      </w:r>
      <w:r>
        <w:rPr>
          <w:rFonts w:hint="eastAsia" w:ascii="宋体" w:hAnsi="宋体" w:cs="宋体"/>
          <w:szCs w:val="21"/>
          <w:highlight w:val="none"/>
          <w:lang w:eastAsia="zh-CN"/>
        </w:rPr>
        <w:t>磋商报价</w:t>
      </w:r>
      <w:r>
        <w:rPr>
          <w:rFonts w:hint="eastAsia" w:ascii="宋体" w:hAnsi="宋体" w:cs="宋体"/>
          <w:szCs w:val="21"/>
          <w:highlight w:val="none"/>
        </w:rPr>
        <w:t>（不得低于成本价），任何</w:t>
      </w:r>
      <w:r>
        <w:rPr>
          <w:rFonts w:hint="eastAsia" w:ascii="宋体" w:hAnsi="宋体" w:cs="宋体"/>
          <w:szCs w:val="21"/>
          <w:highlight w:val="none"/>
          <w:lang w:eastAsia="zh-CN"/>
        </w:rPr>
        <w:t>磋商优惠</w:t>
      </w:r>
      <w:r>
        <w:rPr>
          <w:rFonts w:hint="eastAsia" w:ascii="宋体" w:hAnsi="宋体" w:cs="宋体"/>
          <w:szCs w:val="21"/>
          <w:highlight w:val="none"/>
        </w:rPr>
        <w:t>都体现在报价内。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.2</w:t>
      </w:r>
      <w:r>
        <w:rPr>
          <w:rFonts w:hint="eastAsia" w:ascii="宋体" w:hAnsi="宋体" w:cs="宋体"/>
          <w:szCs w:val="21"/>
          <w:highlight w:val="none"/>
          <w:lang w:eastAsia="zh-CN"/>
        </w:rPr>
        <w:t>供应商</w:t>
      </w:r>
      <w:r>
        <w:rPr>
          <w:rFonts w:hint="eastAsia" w:ascii="宋体" w:hAnsi="宋体" w:cs="宋体"/>
          <w:szCs w:val="21"/>
          <w:highlight w:val="none"/>
        </w:rPr>
        <w:t>应仔细阅读</w:t>
      </w:r>
      <w:r>
        <w:rPr>
          <w:rFonts w:hint="eastAsia" w:ascii="宋体" w:hAnsi="宋体" w:cs="宋体"/>
          <w:szCs w:val="21"/>
          <w:highlight w:val="none"/>
          <w:lang w:eastAsia="zh-CN"/>
        </w:rPr>
        <w:t>竞争性磋商文件</w:t>
      </w:r>
      <w:r>
        <w:rPr>
          <w:rFonts w:hint="eastAsia" w:ascii="宋体" w:hAnsi="宋体" w:cs="宋体"/>
          <w:szCs w:val="21"/>
          <w:highlight w:val="none"/>
        </w:rPr>
        <w:t>，了解拟投标合同段的全部工程内容。</w:t>
      </w:r>
      <w:r>
        <w:rPr>
          <w:rFonts w:hint="eastAsia" w:ascii="宋体" w:hAnsi="宋体" w:cs="宋体"/>
          <w:szCs w:val="21"/>
          <w:highlight w:val="none"/>
          <w:lang w:eastAsia="zh-CN"/>
        </w:rPr>
        <w:t>供应商</w:t>
      </w:r>
      <w:r>
        <w:rPr>
          <w:rFonts w:hint="eastAsia" w:ascii="宋体" w:hAnsi="宋体" w:cs="宋体"/>
          <w:szCs w:val="21"/>
          <w:highlight w:val="none"/>
        </w:rPr>
        <w:t>的</w:t>
      </w:r>
      <w:r>
        <w:rPr>
          <w:rFonts w:hint="eastAsia" w:ascii="宋体" w:hAnsi="宋体" w:cs="宋体"/>
          <w:szCs w:val="21"/>
          <w:highlight w:val="none"/>
          <w:lang w:eastAsia="zh-CN"/>
        </w:rPr>
        <w:t>磋商报价</w:t>
      </w:r>
      <w:r>
        <w:rPr>
          <w:rFonts w:hint="eastAsia" w:ascii="宋体" w:hAnsi="宋体" w:cs="宋体"/>
          <w:szCs w:val="21"/>
          <w:highlight w:val="none"/>
        </w:rPr>
        <w:t>应是在满足</w:t>
      </w:r>
      <w:r>
        <w:rPr>
          <w:rFonts w:hint="eastAsia" w:ascii="宋体" w:hAnsi="宋体" w:cs="宋体"/>
          <w:szCs w:val="21"/>
          <w:highlight w:val="none"/>
          <w:lang w:eastAsia="zh-CN"/>
        </w:rPr>
        <w:t>竞争性磋商文件</w:t>
      </w:r>
      <w:r>
        <w:rPr>
          <w:rFonts w:hint="eastAsia" w:ascii="宋体" w:hAnsi="宋体" w:cs="宋体"/>
          <w:szCs w:val="21"/>
          <w:highlight w:val="none"/>
        </w:rPr>
        <w:t>约定工期、质量等要求下，完成工程范围内的全部工作内容的价格，其</w:t>
      </w:r>
      <w:r>
        <w:rPr>
          <w:rFonts w:hint="eastAsia" w:ascii="宋体" w:hAnsi="宋体" w:cs="宋体"/>
          <w:szCs w:val="21"/>
          <w:highlight w:val="none"/>
          <w:lang w:eastAsia="zh-CN"/>
        </w:rPr>
        <w:t>磋商报价</w:t>
      </w:r>
      <w:r>
        <w:rPr>
          <w:rFonts w:hint="eastAsia" w:ascii="宋体" w:hAnsi="宋体" w:cs="宋体"/>
          <w:szCs w:val="21"/>
          <w:highlight w:val="none"/>
        </w:rPr>
        <w:t>不得低于成本价。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.3本工程的</w:t>
      </w:r>
      <w:r>
        <w:rPr>
          <w:rFonts w:hint="eastAsia" w:ascii="宋体" w:hAnsi="宋体" w:cs="宋体"/>
          <w:szCs w:val="21"/>
          <w:highlight w:val="none"/>
          <w:lang w:eastAsia="zh-CN"/>
        </w:rPr>
        <w:t>磋商报价</w:t>
      </w:r>
      <w:r>
        <w:rPr>
          <w:rFonts w:hint="eastAsia" w:ascii="宋体" w:hAnsi="宋体" w:cs="宋体"/>
          <w:szCs w:val="21"/>
          <w:highlight w:val="none"/>
        </w:rPr>
        <w:t>采用本须知前附表所规定的方式综合单价包含完成一个规定清单项目所需的人工费（含工伤保险费等）、材料和工程设备费、施工机具使用费和企业管理费、利润以及施工合同范围内的风险费用。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w:t>
      </w:r>
      <w:r>
        <w:rPr>
          <w:rFonts w:hint="eastAsia" w:ascii="宋体" w:hAnsi="宋体" w:cs="宋体"/>
          <w:szCs w:val="21"/>
          <w:highlight w:val="none"/>
          <w:lang w:eastAsia="zh-CN"/>
        </w:rPr>
        <w:t>磋商报价</w:t>
      </w:r>
      <w:r>
        <w:rPr>
          <w:rFonts w:hint="eastAsia" w:ascii="宋体" w:hAnsi="宋体" w:cs="宋体"/>
          <w:szCs w:val="21"/>
          <w:highlight w:val="none"/>
        </w:rPr>
        <w:t>编制依据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.4.1</w:t>
      </w:r>
      <w:r>
        <w:rPr>
          <w:rFonts w:hint="eastAsia" w:ascii="宋体" w:hAnsi="宋体" w:cs="宋体"/>
          <w:szCs w:val="21"/>
          <w:highlight w:val="none"/>
          <w:lang w:eastAsia="zh-CN"/>
        </w:rPr>
        <w:t>竞争性磋商文件</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.4.2施工图设计文件；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.4.3工程量清单、</w:t>
      </w:r>
      <w:r>
        <w:rPr>
          <w:rFonts w:hint="eastAsia" w:ascii="宋体" w:hAnsi="宋体" w:cs="宋体"/>
          <w:szCs w:val="21"/>
          <w:highlight w:val="none"/>
          <w:lang w:eastAsia="zh-CN"/>
        </w:rPr>
        <w:t>最高磋商限价</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.4.4澄清、修改、补充中提出有关工程技术、质量、工期、承包范围及设备清单（如有）等内容；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.4.5施工组织设计及施工方案；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.4.6质量验收规范等国家、行业、地方有关技术标准、规范；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.4.7《安徽省建设工程工程量清单计价办法》及其配套2018版安徽省建设工程计价定额；</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.4.8安徽省建设工程造价管理总站《关于调整我省现行建设工程计价依据增值税税率的通知》（造价【2019】7号）。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.4.9《关于调整安徽省建设工程不可竞争费构成及计费标准的通知》（建标【2021】42号）；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.4.10安徽省住房和城乡建设厅《关于规范我省建设工程人工价格信息发布工作的通知》（建标〔2021〕46号）及安庆市相关文件；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.4.11本工程涉及的人工、材料、机械台班的市场价格；</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.4.12施工期间的风险因素。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可在</w:t>
      </w:r>
      <w:r>
        <w:rPr>
          <w:rFonts w:hint="eastAsia" w:ascii="宋体" w:hAnsi="宋体" w:cs="宋体"/>
          <w:szCs w:val="21"/>
          <w:highlight w:val="none"/>
          <w:lang w:val="en-US" w:eastAsia="zh-CN"/>
        </w:rPr>
        <w:t>安庆市建筑管理处网站</w:t>
      </w:r>
      <w:r>
        <w:rPr>
          <w:rFonts w:hint="eastAsia" w:ascii="宋体" w:hAnsi="宋体" w:cs="宋体"/>
          <w:szCs w:val="21"/>
          <w:highlight w:val="none"/>
        </w:rPr>
        <w:t>上下载上述文件、信息价。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w:t>
      </w:r>
      <w:r>
        <w:rPr>
          <w:rFonts w:hint="eastAsia" w:ascii="宋体" w:hAnsi="宋体" w:cs="宋体"/>
          <w:szCs w:val="21"/>
          <w:highlight w:val="none"/>
          <w:lang w:eastAsia="zh-CN"/>
        </w:rPr>
        <w:t>磋商报价</w:t>
      </w:r>
      <w:r>
        <w:rPr>
          <w:rFonts w:hint="eastAsia" w:ascii="宋体" w:hAnsi="宋体" w:cs="宋体"/>
          <w:szCs w:val="21"/>
          <w:highlight w:val="none"/>
        </w:rPr>
        <w:t>编制原则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.5.1人工费：参考最高投标限价中人工费单价标准（</w:t>
      </w:r>
      <w:r>
        <w:rPr>
          <w:rFonts w:hint="eastAsia" w:ascii="宋体" w:hAnsi="宋体" w:cs="宋体"/>
          <w:szCs w:val="21"/>
          <w:highlight w:val="none"/>
          <w:lang w:val="en-US" w:eastAsia="zh-CN"/>
        </w:rPr>
        <w:t>1</w:t>
      </w:r>
      <w:r>
        <w:rPr>
          <w:rFonts w:hint="eastAsia" w:ascii="宋体" w:hAnsi="宋体" w:cs="宋体"/>
          <w:szCs w:val="21"/>
          <w:highlight w:val="none"/>
        </w:rPr>
        <w:t>58.87元/工日）计算。</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.5.2材料费：参考</w:t>
      </w:r>
      <w:r>
        <w:rPr>
          <w:rFonts w:hint="eastAsia" w:ascii="宋体" w:hAnsi="宋体" w:cs="宋体"/>
          <w:szCs w:val="21"/>
          <w:highlight w:val="none"/>
          <w:lang w:eastAsia="zh-CN"/>
        </w:rPr>
        <w:t>最高磋商限价</w:t>
      </w:r>
      <w:r>
        <w:rPr>
          <w:rFonts w:hint="eastAsia" w:ascii="宋体" w:hAnsi="宋体" w:cs="宋体"/>
          <w:szCs w:val="21"/>
          <w:highlight w:val="none"/>
        </w:rPr>
        <w:t>中的当期市场信息价自主报价。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.5.3机械台班费：可参照《2018年安徽省建设工程施工机械台班费用编制规则》执行。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.5.4不可竞争费用：包含“安全防护与文明施工措施费”、“税金”两项。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“安全防护与文明施工措施费”（指环境保护、文明施工、安全施工、临时设施）费率必须与</w:t>
      </w:r>
      <w:r>
        <w:rPr>
          <w:rFonts w:hint="eastAsia" w:ascii="宋体" w:hAnsi="宋体" w:cs="宋体"/>
          <w:szCs w:val="21"/>
          <w:highlight w:val="none"/>
          <w:lang w:eastAsia="zh-CN"/>
        </w:rPr>
        <w:t>最高磋商限价</w:t>
      </w:r>
      <w:r>
        <w:rPr>
          <w:rFonts w:hint="eastAsia" w:ascii="宋体" w:hAnsi="宋体" w:cs="宋体"/>
          <w:szCs w:val="21"/>
          <w:highlight w:val="none"/>
        </w:rPr>
        <w:t>相应费率一致。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“税金”税率必须与</w:t>
      </w:r>
      <w:r>
        <w:rPr>
          <w:rFonts w:hint="eastAsia" w:ascii="宋体" w:hAnsi="宋体" w:cs="宋体"/>
          <w:szCs w:val="21"/>
          <w:highlight w:val="none"/>
          <w:lang w:eastAsia="zh-CN"/>
        </w:rPr>
        <w:t>最高磋商限价</w:t>
      </w:r>
      <w:r>
        <w:rPr>
          <w:rFonts w:hint="eastAsia" w:ascii="宋体" w:hAnsi="宋体" w:cs="宋体"/>
          <w:szCs w:val="21"/>
          <w:highlight w:val="none"/>
        </w:rPr>
        <w:t>相应税率一致。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.5.5管理费、利润等可竞争费：费率参照《2018年安徽省建设工程费用定额》自主确定取值。</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.5.6暂列金额、材料购置费、暂估价（如有）应按工程量清单及</w:t>
      </w:r>
      <w:r>
        <w:rPr>
          <w:rFonts w:hint="eastAsia" w:ascii="宋体" w:hAnsi="宋体" w:cs="宋体"/>
          <w:szCs w:val="21"/>
          <w:highlight w:val="none"/>
          <w:lang w:eastAsia="zh-CN"/>
        </w:rPr>
        <w:t>最高磋商限价</w:t>
      </w:r>
      <w:r>
        <w:rPr>
          <w:rFonts w:hint="eastAsia" w:ascii="宋体" w:hAnsi="宋体" w:cs="宋体"/>
          <w:szCs w:val="21"/>
          <w:highlight w:val="none"/>
        </w:rPr>
        <w:t>中所列金额填写，</w:t>
      </w:r>
      <w:r>
        <w:rPr>
          <w:rFonts w:hint="eastAsia" w:ascii="宋体" w:hAnsi="宋体" w:cs="宋体"/>
          <w:szCs w:val="21"/>
          <w:highlight w:val="none"/>
          <w:lang w:eastAsia="zh-CN"/>
        </w:rPr>
        <w:t>供应商</w:t>
      </w:r>
      <w:r>
        <w:rPr>
          <w:rFonts w:hint="eastAsia" w:ascii="宋体" w:hAnsi="宋体" w:cs="宋体"/>
          <w:szCs w:val="21"/>
          <w:highlight w:val="none"/>
        </w:rPr>
        <w:t>不得修改。</w:t>
      </w:r>
      <w:r>
        <w:rPr>
          <w:rFonts w:hint="eastAsia" w:ascii="宋体" w:hAnsi="宋体" w:cs="宋体"/>
          <w:szCs w:val="21"/>
          <w:highlight w:val="none"/>
          <w:lang w:eastAsia="zh-CN"/>
        </w:rPr>
        <w:t>最高磋商限价</w:t>
      </w:r>
      <w:r>
        <w:rPr>
          <w:rFonts w:hint="eastAsia" w:ascii="宋体" w:hAnsi="宋体" w:cs="宋体"/>
          <w:szCs w:val="21"/>
          <w:highlight w:val="none"/>
        </w:rPr>
        <w:t>的暂列金额、暂估价（如有）均为估算金额，工程竣工后应按承包人实际完成的工程内容结算。</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.5.7总承包服务费（如有）应根据</w:t>
      </w:r>
      <w:r>
        <w:rPr>
          <w:rFonts w:hint="eastAsia" w:ascii="宋体" w:hAnsi="宋体" w:cs="宋体"/>
          <w:szCs w:val="21"/>
          <w:highlight w:val="none"/>
          <w:lang w:eastAsia="zh-CN"/>
        </w:rPr>
        <w:t>竞争性磋商文件</w:t>
      </w:r>
      <w:r>
        <w:rPr>
          <w:rFonts w:hint="eastAsia" w:ascii="宋体" w:hAnsi="宋体" w:cs="宋体"/>
          <w:szCs w:val="21"/>
          <w:highlight w:val="none"/>
        </w:rPr>
        <w:t>中列出的内容和提出的要求计算。</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.5.8计日工费（如有）应按采购人在计日工表列出的项目和数量，确定各项综合单价计算，工程竣工后按实际完成的工程量结算。</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5.9本工程取、弃土点由施工单位自行解决，承包人投标总报价时应综合考虑经济运距及其他可能增加成本的因素，且渣土运输要符合安庆市人民政府关于建筑垃圾处置的相关规定。承包人投标前必须充分了解安庆渣土运输行情，合理报价，</w:t>
      </w:r>
      <w:r>
        <w:rPr>
          <w:rFonts w:hint="eastAsia" w:ascii="宋体" w:hAnsi="宋体" w:cs="宋体"/>
          <w:szCs w:val="21"/>
          <w:highlight w:val="none"/>
          <w:lang w:val="en-US" w:eastAsia="zh-CN"/>
        </w:rPr>
        <w:t>成交</w:t>
      </w:r>
      <w:r>
        <w:rPr>
          <w:rFonts w:hint="eastAsia" w:ascii="宋体" w:hAnsi="宋体" w:cs="宋体"/>
          <w:szCs w:val="21"/>
          <w:highlight w:val="none"/>
        </w:rPr>
        <w:t>后土方报价不做调整。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.5.10根据安庆市相关规定，凡在市城市管理行政执法局规定的建筑垃圾消纳场处置建筑垃圾的，均应交纳建筑垃圾消纳处置费，收费标准为2.50元/吨。保障性住房和工业项目免收。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①如本项目属于保障性住房和工业项目，如实际发生时，该费用由采购人承担。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②如本项目不属于免收费的项目，则各</w:t>
      </w:r>
      <w:r>
        <w:rPr>
          <w:rFonts w:hint="eastAsia" w:ascii="宋体" w:hAnsi="宋体" w:cs="宋体"/>
          <w:szCs w:val="21"/>
          <w:highlight w:val="none"/>
          <w:lang w:eastAsia="zh-CN"/>
        </w:rPr>
        <w:t>供应商磋商报价</w:t>
      </w:r>
      <w:r>
        <w:rPr>
          <w:rFonts w:hint="eastAsia" w:ascii="宋体" w:hAnsi="宋体" w:cs="宋体"/>
          <w:szCs w:val="21"/>
          <w:highlight w:val="none"/>
        </w:rPr>
        <w:t>中也需综合考虑并计取，实际发生时，该费用由成交人承担。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.5.11材料信息价参照安庆市建筑管理处202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期《安庆工程造价信息简讯》执行。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.6除非采购人对</w:t>
      </w:r>
      <w:r>
        <w:rPr>
          <w:rFonts w:hint="eastAsia" w:ascii="宋体" w:hAnsi="宋体" w:cs="宋体"/>
          <w:szCs w:val="21"/>
          <w:highlight w:val="none"/>
          <w:lang w:eastAsia="zh-CN"/>
        </w:rPr>
        <w:t>竞争性磋商文件</w:t>
      </w:r>
      <w:r>
        <w:rPr>
          <w:rFonts w:hint="eastAsia" w:ascii="宋体" w:hAnsi="宋体" w:cs="宋体"/>
          <w:szCs w:val="21"/>
          <w:highlight w:val="none"/>
        </w:rPr>
        <w:t>予以修改、更正，否则</w:t>
      </w:r>
      <w:r>
        <w:rPr>
          <w:rFonts w:hint="eastAsia" w:ascii="宋体" w:hAnsi="宋体" w:cs="宋体"/>
          <w:szCs w:val="21"/>
          <w:highlight w:val="none"/>
          <w:lang w:eastAsia="zh-CN"/>
        </w:rPr>
        <w:t>供应商</w:t>
      </w:r>
      <w:r>
        <w:rPr>
          <w:rFonts w:hint="eastAsia" w:ascii="宋体" w:hAnsi="宋体" w:cs="宋体"/>
          <w:szCs w:val="21"/>
          <w:highlight w:val="none"/>
        </w:rPr>
        <w:t>应按采购人提供的工程量清单中列出的工程项目和工程量逐项填报综合单价和合价。</w:t>
      </w:r>
      <w:r>
        <w:rPr>
          <w:rFonts w:hint="eastAsia" w:ascii="宋体" w:hAnsi="宋体" w:cs="宋体"/>
          <w:szCs w:val="21"/>
          <w:highlight w:val="none"/>
          <w:lang w:eastAsia="zh-CN"/>
        </w:rPr>
        <w:t>供应商</w:t>
      </w:r>
      <w:r>
        <w:rPr>
          <w:rFonts w:hint="eastAsia" w:ascii="宋体" w:hAnsi="宋体" w:cs="宋体"/>
          <w:szCs w:val="21"/>
          <w:highlight w:val="none"/>
        </w:rPr>
        <w:t>不得在分部分项工程量清单中任意增删、修改清单项目与工程量及项目排列顺序。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.7除非合同中另有规定，</w:t>
      </w:r>
      <w:r>
        <w:rPr>
          <w:rFonts w:hint="eastAsia" w:ascii="宋体" w:hAnsi="宋体" w:cs="宋体"/>
          <w:szCs w:val="21"/>
          <w:highlight w:val="none"/>
          <w:lang w:eastAsia="zh-CN"/>
        </w:rPr>
        <w:t>供应商</w:t>
      </w:r>
      <w:r>
        <w:rPr>
          <w:rFonts w:hint="eastAsia" w:ascii="宋体" w:hAnsi="宋体" w:cs="宋体"/>
          <w:szCs w:val="21"/>
          <w:highlight w:val="none"/>
        </w:rPr>
        <w:t>在</w:t>
      </w:r>
      <w:r>
        <w:rPr>
          <w:rFonts w:hint="eastAsia" w:ascii="宋体" w:hAnsi="宋体" w:cs="宋体"/>
          <w:szCs w:val="21"/>
          <w:highlight w:val="none"/>
          <w:lang w:eastAsia="zh-CN"/>
        </w:rPr>
        <w:t>磋商报价</w:t>
      </w:r>
      <w:r>
        <w:rPr>
          <w:rFonts w:hint="eastAsia" w:ascii="宋体" w:hAnsi="宋体" w:cs="宋体"/>
          <w:szCs w:val="21"/>
          <w:highlight w:val="none"/>
        </w:rPr>
        <w:t>相关表格中所报的综合单价和合价、以及报价汇总表中的</w:t>
      </w:r>
      <w:r>
        <w:rPr>
          <w:rFonts w:hint="eastAsia" w:ascii="宋体" w:hAnsi="宋体" w:cs="宋体"/>
          <w:szCs w:val="21"/>
          <w:highlight w:val="none"/>
          <w:lang w:eastAsia="zh-CN"/>
        </w:rPr>
        <w:t>磋商报价</w:t>
      </w:r>
      <w:r>
        <w:rPr>
          <w:rFonts w:hint="eastAsia" w:ascii="宋体" w:hAnsi="宋体" w:cs="宋体"/>
          <w:szCs w:val="21"/>
          <w:highlight w:val="none"/>
        </w:rPr>
        <w:t>均包括完成</w:t>
      </w:r>
      <w:r>
        <w:rPr>
          <w:rFonts w:hint="eastAsia" w:ascii="宋体" w:hAnsi="宋体" w:cs="宋体"/>
          <w:szCs w:val="21"/>
          <w:highlight w:val="none"/>
          <w:lang w:eastAsia="zh-CN"/>
        </w:rPr>
        <w:t>竞争性磋商文件</w:t>
      </w:r>
      <w:r>
        <w:rPr>
          <w:rFonts w:hint="eastAsia" w:ascii="宋体" w:hAnsi="宋体" w:cs="宋体"/>
          <w:szCs w:val="21"/>
          <w:highlight w:val="none"/>
        </w:rPr>
        <w:t>约定的全部工程内容及为达到质量和工期目标、安全文明、环境保护等要求的分部分项工程费、措施项目费、不可竞争费、其他项目费、税金等所有费用。为满足工程建设标准和技术规范要求所发生的费用应包括在</w:t>
      </w:r>
      <w:r>
        <w:rPr>
          <w:rFonts w:hint="eastAsia" w:ascii="宋体" w:hAnsi="宋体" w:cs="宋体"/>
          <w:szCs w:val="21"/>
          <w:highlight w:val="none"/>
          <w:lang w:eastAsia="zh-CN"/>
        </w:rPr>
        <w:t>磋商报价</w:t>
      </w:r>
      <w:r>
        <w:rPr>
          <w:rFonts w:hint="eastAsia" w:ascii="宋体" w:hAnsi="宋体" w:cs="宋体"/>
          <w:szCs w:val="21"/>
          <w:highlight w:val="none"/>
        </w:rPr>
        <w:t>中。</w:t>
      </w:r>
      <w:r>
        <w:rPr>
          <w:rFonts w:hint="eastAsia" w:ascii="宋体" w:hAnsi="宋体" w:cs="宋体"/>
          <w:szCs w:val="21"/>
          <w:highlight w:val="none"/>
          <w:lang w:eastAsia="zh-CN"/>
        </w:rPr>
        <w:t>磋商报价</w:t>
      </w:r>
      <w:r>
        <w:rPr>
          <w:rFonts w:hint="eastAsia" w:ascii="宋体" w:hAnsi="宋体" w:cs="宋体"/>
          <w:szCs w:val="21"/>
          <w:highlight w:val="none"/>
        </w:rPr>
        <w:t>为</w:t>
      </w:r>
      <w:r>
        <w:rPr>
          <w:rFonts w:hint="eastAsia" w:ascii="宋体" w:hAnsi="宋体" w:cs="宋体"/>
          <w:szCs w:val="21"/>
          <w:highlight w:val="none"/>
          <w:lang w:eastAsia="zh-CN"/>
        </w:rPr>
        <w:t>供应商</w:t>
      </w:r>
      <w:r>
        <w:rPr>
          <w:rFonts w:hint="eastAsia" w:ascii="宋体" w:hAnsi="宋体" w:cs="宋体"/>
          <w:szCs w:val="21"/>
          <w:highlight w:val="none"/>
        </w:rPr>
        <w:t>在</w:t>
      </w:r>
      <w:r>
        <w:rPr>
          <w:rFonts w:hint="eastAsia" w:ascii="宋体" w:hAnsi="宋体" w:cs="宋体"/>
          <w:szCs w:val="21"/>
          <w:highlight w:val="none"/>
          <w:lang w:eastAsia="zh-CN"/>
        </w:rPr>
        <w:t>磋商响应文件</w:t>
      </w:r>
      <w:r>
        <w:rPr>
          <w:rFonts w:hint="eastAsia" w:ascii="宋体" w:hAnsi="宋体" w:cs="宋体"/>
          <w:szCs w:val="21"/>
          <w:highlight w:val="none"/>
        </w:rPr>
        <w:t>中提出的各项支付金额的总和。每一清单项目只允许有一个报价，任何有选择的报价将不予接受。</w:t>
      </w:r>
      <w:r>
        <w:rPr>
          <w:rFonts w:hint="eastAsia" w:ascii="宋体" w:hAnsi="宋体" w:cs="宋体"/>
          <w:szCs w:val="21"/>
          <w:highlight w:val="none"/>
          <w:lang w:eastAsia="zh-CN"/>
        </w:rPr>
        <w:t>供应商</w:t>
      </w:r>
      <w:r>
        <w:rPr>
          <w:rFonts w:hint="eastAsia" w:ascii="宋体" w:hAnsi="宋体" w:cs="宋体"/>
          <w:szCs w:val="21"/>
          <w:highlight w:val="none"/>
        </w:rPr>
        <w:t>未填综合单价或合价的清单项目，将被视为该项费用已包括在其他有价款的综合单价或合价以及</w:t>
      </w:r>
      <w:r>
        <w:rPr>
          <w:rFonts w:hint="eastAsia" w:ascii="宋体" w:hAnsi="宋体" w:cs="宋体"/>
          <w:szCs w:val="21"/>
          <w:highlight w:val="none"/>
          <w:lang w:eastAsia="zh-CN"/>
        </w:rPr>
        <w:t>磋商总价</w:t>
      </w:r>
      <w:r>
        <w:rPr>
          <w:rFonts w:hint="eastAsia" w:ascii="宋体" w:hAnsi="宋体" w:cs="宋体"/>
          <w:szCs w:val="21"/>
          <w:highlight w:val="none"/>
        </w:rPr>
        <w:t>内，</w:t>
      </w:r>
      <w:r>
        <w:rPr>
          <w:rFonts w:hint="eastAsia" w:ascii="宋体" w:hAnsi="宋体" w:cs="宋体"/>
          <w:szCs w:val="21"/>
          <w:highlight w:val="none"/>
          <w:lang w:eastAsia="zh-CN"/>
        </w:rPr>
        <w:t>供应商</w:t>
      </w:r>
      <w:r>
        <w:rPr>
          <w:rFonts w:hint="eastAsia" w:ascii="宋体" w:hAnsi="宋体" w:cs="宋体"/>
          <w:szCs w:val="21"/>
          <w:highlight w:val="none"/>
        </w:rPr>
        <w:t>必须按合同要求完成工程量清单中未填综合单价或合价的工程项目，任何与未填综合单价或合价的工程项目有关的工程价款，采购人将不再另行支付。</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.8工程材料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.8.1材料供应方式：除采购人提供的材料和实行暂估价的材料及设备以外，本工程使用的材料由承包方采购供应并满足</w:t>
      </w:r>
      <w:r>
        <w:rPr>
          <w:rFonts w:hint="eastAsia" w:ascii="宋体" w:hAnsi="宋体" w:cs="宋体"/>
          <w:szCs w:val="21"/>
          <w:highlight w:val="none"/>
          <w:lang w:eastAsia="zh-CN"/>
        </w:rPr>
        <w:t>供应商</w:t>
      </w:r>
      <w:r>
        <w:rPr>
          <w:rFonts w:hint="eastAsia" w:ascii="宋体" w:hAnsi="宋体" w:cs="宋体"/>
          <w:szCs w:val="21"/>
          <w:highlight w:val="none"/>
        </w:rPr>
        <w:t>须知前附表中“材料要求”的规定；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.8.2材料价格：除采购人提供的材料和实行暂估价的材料及设备以外，由</w:t>
      </w:r>
      <w:r>
        <w:rPr>
          <w:rFonts w:hint="eastAsia" w:ascii="宋体" w:hAnsi="宋体" w:cs="宋体"/>
          <w:szCs w:val="21"/>
          <w:highlight w:val="none"/>
          <w:lang w:eastAsia="zh-CN"/>
        </w:rPr>
        <w:t>供应商</w:t>
      </w:r>
      <w:r>
        <w:rPr>
          <w:rFonts w:hint="eastAsia" w:ascii="宋体" w:hAnsi="宋体" w:cs="宋体"/>
          <w:szCs w:val="21"/>
          <w:highlight w:val="none"/>
        </w:rPr>
        <w:t>自行采购的材料确定</w:t>
      </w:r>
      <w:r>
        <w:rPr>
          <w:rFonts w:hint="eastAsia" w:ascii="宋体" w:hAnsi="宋体" w:cs="宋体"/>
          <w:szCs w:val="21"/>
          <w:highlight w:val="none"/>
          <w:lang w:eastAsia="zh-CN"/>
        </w:rPr>
        <w:t>磋商报价</w:t>
      </w:r>
      <w:r>
        <w:rPr>
          <w:rFonts w:hint="eastAsia" w:ascii="宋体" w:hAnsi="宋体" w:cs="宋体"/>
          <w:szCs w:val="21"/>
          <w:highlight w:val="none"/>
        </w:rPr>
        <w:t>时应充分考虑材料价格上涨等市场风险因素，成交后不作调整，综合单价中的材料费应包括材料运杂费、采购及保管费等。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.9本招标工程的施工地点为本须知前附表所述，</w:t>
      </w:r>
      <w:r>
        <w:rPr>
          <w:rFonts w:hint="eastAsia" w:ascii="宋体" w:hAnsi="宋体" w:cs="宋体"/>
          <w:szCs w:val="21"/>
          <w:highlight w:val="none"/>
          <w:lang w:eastAsia="zh-CN"/>
        </w:rPr>
        <w:t>供应商</w:t>
      </w:r>
      <w:r>
        <w:rPr>
          <w:rFonts w:hint="eastAsia" w:ascii="宋体" w:hAnsi="宋体" w:cs="宋体"/>
          <w:szCs w:val="21"/>
          <w:highlight w:val="none"/>
        </w:rPr>
        <w:t>应自行到施工现场踏勘以充分了解工地位置、情况、道路、储存空间、装卸限制及任何其它足以影响</w:t>
      </w:r>
      <w:r>
        <w:rPr>
          <w:rFonts w:hint="eastAsia" w:ascii="宋体" w:hAnsi="宋体" w:cs="宋体"/>
          <w:szCs w:val="21"/>
          <w:highlight w:val="none"/>
          <w:lang w:eastAsia="zh-CN"/>
        </w:rPr>
        <w:t>磋商报价</w:t>
      </w:r>
      <w:r>
        <w:rPr>
          <w:rFonts w:hint="eastAsia" w:ascii="宋体" w:hAnsi="宋体" w:cs="宋体"/>
          <w:szCs w:val="21"/>
          <w:highlight w:val="none"/>
        </w:rPr>
        <w:t>的情况，任何因忽视或误解施工场地情况而导致的索赔或工期延长申请将不被批准。对于受施工现场场地限制，如需要另外寻找场地解决临时住宿、材料及设备堆放，由此所产生的费用应包含在</w:t>
      </w:r>
      <w:r>
        <w:rPr>
          <w:rFonts w:hint="eastAsia" w:ascii="宋体" w:hAnsi="宋体" w:cs="宋体"/>
          <w:szCs w:val="21"/>
          <w:highlight w:val="none"/>
          <w:lang w:eastAsia="zh-CN"/>
        </w:rPr>
        <w:t>磋商报价</w:t>
      </w:r>
      <w:r>
        <w:rPr>
          <w:rFonts w:hint="eastAsia" w:ascii="宋体" w:hAnsi="宋体" w:cs="宋体"/>
          <w:szCs w:val="21"/>
          <w:highlight w:val="none"/>
        </w:rPr>
        <w:t>范围内，采购人不再承担该费用。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.10工程造价的确定与控制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.10.1本工程成交价即本工程的固定合同价，除政策性调整、经批准的设计变更、经济签证外，其它工程造价增减均不予签证计价。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.10.2开标前，</w:t>
      </w:r>
      <w:r>
        <w:rPr>
          <w:rFonts w:hint="eastAsia" w:ascii="宋体" w:hAnsi="宋体" w:cs="宋体"/>
          <w:szCs w:val="21"/>
          <w:highlight w:val="none"/>
          <w:lang w:eastAsia="zh-CN"/>
        </w:rPr>
        <w:t>供应商</w:t>
      </w:r>
      <w:r>
        <w:rPr>
          <w:rFonts w:hint="eastAsia" w:ascii="宋体" w:hAnsi="宋体" w:cs="宋体"/>
          <w:szCs w:val="21"/>
          <w:highlight w:val="none"/>
        </w:rPr>
        <w:t>应认真核对采购人提供的工程量清单，发现工程量存在项目划分误差、计量单位误差、数量误差、遗漏项目的，必须在清单发放后1日内向采购人提出问题，否则采购人可不予答复。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.10.3采购人对</w:t>
      </w:r>
      <w:r>
        <w:rPr>
          <w:rFonts w:hint="eastAsia" w:ascii="宋体" w:hAnsi="宋体" w:cs="宋体"/>
          <w:szCs w:val="21"/>
          <w:highlight w:val="none"/>
          <w:lang w:eastAsia="zh-CN"/>
        </w:rPr>
        <w:t>供应商</w:t>
      </w:r>
      <w:r>
        <w:rPr>
          <w:rFonts w:hint="eastAsia" w:ascii="宋体" w:hAnsi="宋体" w:cs="宋体"/>
          <w:szCs w:val="21"/>
          <w:highlight w:val="none"/>
        </w:rPr>
        <w:t>提出的问题应进行核实，确认工程量单项子目误差在±3%（含±3%）以内，采购人可不予调整工程量，</w:t>
      </w:r>
      <w:r>
        <w:rPr>
          <w:rFonts w:hint="eastAsia" w:ascii="宋体" w:hAnsi="宋体" w:cs="宋体"/>
          <w:szCs w:val="21"/>
          <w:highlight w:val="none"/>
          <w:lang w:eastAsia="zh-CN"/>
        </w:rPr>
        <w:t>供应商</w:t>
      </w:r>
      <w:r>
        <w:rPr>
          <w:rFonts w:hint="eastAsia" w:ascii="宋体" w:hAnsi="宋体" w:cs="宋体"/>
          <w:szCs w:val="21"/>
          <w:highlight w:val="none"/>
        </w:rPr>
        <w:t>应将其误差考虑在综合单价内；若单项子目工程量误差或有遗漏项目超过±3%的，采购人应进行修正并重新公布准确的工程量清单。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.10.4</w:t>
      </w:r>
      <w:r>
        <w:rPr>
          <w:rFonts w:hint="eastAsia" w:ascii="宋体" w:hAnsi="宋体" w:cs="宋体"/>
          <w:szCs w:val="21"/>
          <w:highlight w:val="none"/>
          <w:lang w:eastAsia="zh-CN"/>
        </w:rPr>
        <w:t>供应商</w:t>
      </w:r>
      <w:r>
        <w:rPr>
          <w:rFonts w:hint="eastAsia" w:ascii="宋体" w:hAnsi="宋体" w:cs="宋体"/>
          <w:szCs w:val="21"/>
          <w:highlight w:val="none"/>
        </w:rPr>
        <w:t>在规定时间内未对工程量清单提出问题的，成交后，采购人不再对工程量清单的项目和数量进行校对调整。</w:t>
      </w:r>
      <w:r>
        <w:rPr>
          <w:rFonts w:hint="eastAsia" w:ascii="宋体" w:hAnsi="宋体" w:cs="宋体"/>
          <w:szCs w:val="21"/>
          <w:highlight w:val="none"/>
          <w:lang w:eastAsia="zh-CN"/>
        </w:rPr>
        <w:t>供应商</w:t>
      </w:r>
      <w:r>
        <w:rPr>
          <w:rFonts w:hint="eastAsia" w:ascii="宋体" w:hAnsi="宋体" w:cs="宋体"/>
          <w:szCs w:val="21"/>
          <w:highlight w:val="none"/>
        </w:rPr>
        <w:t>必须按其报价完成所有工程项目。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.11本招标工程不接受恶意不平衡报价，不保证最低价成交。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.12</w:t>
      </w:r>
      <w:r>
        <w:rPr>
          <w:rFonts w:hint="eastAsia" w:ascii="宋体" w:hAnsi="宋体" w:cs="宋体"/>
          <w:szCs w:val="21"/>
          <w:highlight w:val="none"/>
          <w:lang w:eastAsia="zh-CN"/>
        </w:rPr>
        <w:t>磋商响应报价</w:t>
      </w:r>
      <w:r>
        <w:rPr>
          <w:rFonts w:hint="eastAsia" w:ascii="宋体" w:hAnsi="宋体" w:cs="宋体"/>
          <w:szCs w:val="21"/>
          <w:highlight w:val="none"/>
        </w:rPr>
        <w:t>高于最高限价的</w:t>
      </w:r>
      <w:r>
        <w:rPr>
          <w:rFonts w:hint="eastAsia" w:ascii="宋体" w:hAnsi="宋体" w:cs="宋体"/>
          <w:szCs w:val="21"/>
          <w:highlight w:val="none"/>
          <w:lang w:eastAsia="zh-CN"/>
        </w:rPr>
        <w:t>磋商响应</w:t>
      </w:r>
      <w:r>
        <w:rPr>
          <w:rFonts w:hint="eastAsia" w:ascii="宋体" w:hAnsi="宋体" w:cs="宋体"/>
          <w:szCs w:val="21"/>
          <w:highlight w:val="none"/>
        </w:rPr>
        <w:t>无效。</w:t>
      </w:r>
    </w:p>
    <w:p>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lang w:eastAsia="zh-CN"/>
        </w:rPr>
        <w:t>12</w:t>
      </w:r>
      <w:r>
        <w:rPr>
          <w:rFonts w:hint="eastAsia" w:ascii="宋体" w:hAnsi="宋体" w:cs="宋体"/>
          <w:szCs w:val="21"/>
          <w:highlight w:val="none"/>
        </w:rPr>
        <w:t>.13若大写金额和小写金额不一致的，以大写金额为准。</w:t>
      </w:r>
    </w:p>
    <w:p>
      <w:pPr>
        <w:spacing w:line="360" w:lineRule="auto"/>
        <w:ind w:firstLine="422" w:firstLineChars="200"/>
        <w:rPr>
          <w:rFonts w:ascii="宋体" w:cs="宋体"/>
          <w:szCs w:val="21"/>
          <w:highlight w:val="none"/>
        </w:rPr>
      </w:pPr>
      <w:r>
        <w:rPr>
          <w:rFonts w:ascii="宋体" w:hAnsi="宋体" w:cs="宋体"/>
          <w:b/>
          <w:szCs w:val="21"/>
          <w:highlight w:val="none"/>
        </w:rPr>
        <w:t>13</w:t>
      </w:r>
      <w:r>
        <w:rPr>
          <w:rFonts w:hint="eastAsia" w:ascii="宋体" w:hAnsi="宋体" w:cs="宋体"/>
          <w:b/>
          <w:szCs w:val="21"/>
          <w:highlight w:val="none"/>
        </w:rPr>
        <w:t>、磋商响应货币：</w:t>
      </w:r>
      <w:r>
        <w:rPr>
          <w:rFonts w:hint="eastAsia" w:ascii="宋体" w:hAnsi="宋体" w:cs="宋体"/>
          <w:szCs w:val="21"/>
          <w:highlight w:val="none"/>
        </w:rPr>
        <w:t>人民币。</w:t>
      </w:r>
    </w:p>
    <w:p>
      <w:pPr>
        <w:spacing w:line="360" w:lineRule="auto"/>
        <w:ind w:firstLine="422" w:firstLineChars="200"/>
        <w:rPr>
          <w:rFonts w:ascii="宋体" w:cs="宋体"/>
          <w:b/>
          <w:szCs w:val="21"/>
          <w:highlight w:val="none"/>
        </w:rPr>
      </w:pPr>
      <w:r>
        <w:rPr>
          <w:rFonts w:ascii="宋体" w:hAnsi="宋体" w:cs="宋体"/>
          <w:b/>
          <w:szCs w:val="21"/>
          <w:highlight w:val="none"/>
        </w:rPr>
        <w:t>14</w:t>
      </w:r>
      <w:r>
        <w:rPr>
          <w:rFonts w:hint="eastAsia" w:ascii="宋体" w:hAnsi="宋体" w:cs="宋体"/>
          <w:b/>
          <w:szCs w:val="21"/>
          <w:highlight w:val="none"/>
        </w:rPr>
        <w:t>、有以下情形之一的处理：</w:t>
      </w:r>
    </w:p>
    <w:p>
      <w:pPr>
        <w:spacing w:line="420" w:lineRule="exact"/>
        <w:ind w:firstLine="315" w:firstLineChars="150"/>
        <w:rPr>
          <w:rFonts w:ascii="宋体" w:cs="宋体"/>
          <w:szCs w:val="21"/>
          <w:highlight w:val="none"/>
        </w:rPr>
      </w:pPr>
      <w:r>
        <w:rPr>
          <w:rFonts w:ascii="宋体" w:hAnsi="宋体" w:cs="宋体"/>
          <w:szCs w:val="21"/>
          <w:highlight w:val="none"/>
        </w:rPr>
        <w:t xml:space="preserve"> 14.</w:t>
      </w:r>
      <w:r>
        <w:rPr>
          <w:rFonts w:hint="eastAsia" w:ascii="宋体" w:hAnsi="宋体" w:cs="宋体"/>
          <w:szCs w:val="21"/>
          <w:highlight w:val="none"/>
        </w:rPr>
        <w:t>1、供应商有下列情形之一的，</w:t>
      </w:r>
      <w:r>
        <w:rPr>
          <w:rFonts w:hint="eastAsia" w:ascii="宋体" w:hAnsi="宋体" w:cs="宋体"/>
          <w:color w:val="000000"/>
          <w:szCs w:val="21"/>
          <w:highlight w:val="none"/>
        </w:rPr>
        <w:t>记入不良行为记录</w:t>
      </w:r>
      <w:r>
        <w:rPr>
          <w:rFonts w:hint="eastAsia" w:ascii="宋体" w:hAnsi="宋体" w:cs="宋体"/>
          <w:szCs w:val="21"/>
          <w:highlight w:val="none"/>
        </w:rPr>
        <w:t>：</w:t>
      </w:r>
    </w:p>
    <w:p>
      <w:pPr>
        <w:spacing w:line="420" w:lineRule="exact"/>
        <w:ind w:firstLine="315" w:firstLineChars="150"/>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）提交截止时间后，供应商在磋商有效期内撤销响应文件的；</w:t>
      </w:r>
    </w:p>
    <w:p>
      <w:pPr>
        <w:spacing w:line="420" w:lineRule="exact"/>
        <w:ind w:firstLine="315" w:firstLineChars="150"/>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）成交人无正当理由不与采购人订立合同的，或在签订合同时向采购人提出附加条件的；</w:t>
      </w:r>
    </w:p>
    <w:p>
      <w:pPr>
        <w:spacing w:line="420" w:lineRule="exact"/>
        <w:ind w:firstLine="315" w:firstLineChars="150"/>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）不按照磋商文件要求提交履约保证金的；</w:t>
      </w:r>
    </w:p>
    <w:p>
      <w:pPr>
        <w:spacing w:line="420" w:lineRule="exact"/>
        <w:ind w:firstLine="315" w:firstLineChars="150"/>
        <w:rPr>
          <w:rFonts w:asci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w:t>
      </w:r>
      <w:r>
        <w:rPr>
          <w:rFonts w:hint="eastAsia" w:ascii="宋体" w:hAnsi="宋体"/>
          <w:szCs w:val="21"/>
          <w:highlight w:val="none"/>
        </w:rPr>
        <w:t>将</w:t>
      </w:r>
      <w:r>
        <w:rPr>
          <w:rFonts w:hint="eastAsia" w:ascii="宋体" w:hAnsi="宋体"/>
          <w:szCs w:val="21"/>
          <w:highlight w:val="none"/>
          <w:lang w:eastAsia="zh-CN"/>
        </w:rPr>
        <w:t>成交</w:t>
      </w:r>
      <w:r>
        <w:rPr>
          <w:rFonts w:hint="eastAsia" w:ascii="宋体" w:hAnsi="宋体"/>
          <w:szCs w:val="21"/>
          <w:highlight w:val="none"/>
        </w:rPr>
        <w:t>项目转让给他人，或未按相关约定将</w:t>
      </w:r>
      <w:r>
        <w:rPr>
          <w:rFonts w:hint="eastAsia" w:ascii="宋体" w:hAnsi="宋体"/>
          <w:szCs w:val="21"/>
          <w:highlight w:val="none"/>
          <w:lang w:eastAsia="zh-CN"/>
        </w:rPr>
        <w:t>成交</w:t>
      </w:r>
      <w:r>
        <w:rPr>
          <w:rFonts w:hint="eastAsia" w:ascii="宋体" w:hAnsi="宋体"/>
          <w:szCs w:val="21"/>
          <w:highlight w:val="none"/>
        </w:rPr>
        <w:t>项目分包给他人的</w:t>
      </w:r>
      <w:r>
        <w:rPr>
          <w:rFonts w:hint="eastAsia" w:ascii="宋体" w:hAnsi="宋体" w:cs="宋体"/>
          <w:szCs w:val="21"/>
          <w:highlight w:val="none"/>
        </w:rPr>
        <w:t>；</w:t>
      </w:r>
    </w:p>
    <w:p>
      <w:pPr>
        <w:spacing w:line="360" w:lineRule="auto"/>
        <w:ind w:firstLine="315" w:firstLineChars="150"/>
        <w:rPr>
          <w:rFonts w:ascii="宋体" w:hAnsi="宋体" w:cs="宋体"/>
          <w:szCs w:val="21"/>
          <w:highlight w:val="none"/>
        </w:rPr>
      </w:pP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）成交人拒绝履行合同义务的；</w:t>
      </w:r>
    </w:p>
    <w:p>
      <w:pPr>
        <w:spacing w:line="360" w:lineRule="auto"/>
        <w:ind w:left="420"/>
        <w:rPr>
          <w:rFonts w:ascii="宋体" w:hAnsi="宋体"/>
          <w:szCs w:val="21"/>
          <w:highlight w:val="none"/>
        </w:rPr>
      </w:pPr>
      <w:r>
        <w:rPr>
          <w:rFonts w:hint="eastAsia" w:ascii="宋体" w:hAnsi="宋体"/>
          <w:szCs w:val="21"/>
          <w:highlight w:val="none"/>
        </w:rPr>
        <w:t xml:space="preserve">（6）提供虚假材料谋取中标、成交的；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（7）采取不正当手段诋毁、排挤其他供应商的； </w:t>
      </w:r>
    </w:p>
    <w:p>
      <w:pPr>
        <w:spacing w:line="360" w:lineRule="auto"/>
        <w:ind w:firstLine="420" w:firstLineChars="200"/>
        <w:rPr>
          <w:rFonts w:ascii="宋体" w:hAnsi="宋体"/>
          <w:szCs w:val="21"/>
          <w:highlight w:val="none"/>
        </w:rPr>
      </w:pPr>
      <w:r>
        <w:rPr>
          <w:rFonts w:hint="eastAsia" w:ascii="宋体" w:hAnsi="宋体"/>
          <w:szCs w:val="21"/>
          <w:highlight w:val="none"/>
        </w:rPr>
        <w:t>（8）与采购单位、其他供应商恶意串通的；</w:t>
      </w:r>
    </w:p>
    <w:p>
      <w:pPr>
        <w:spacing w:line="360" w:lineRule="auto"/>
        <w:ind w:firstLine="420" w:firstLineChars="200"/>
        <w:rPr>
          <w:rFonts w:ascii="宋体" w:hAnsi="宋体"/>
          <w:szCs w:val="21"/>
          <w:highlight w:val="none"/>
        </w:rPr>
      </w:pPr>
      <w:r>
        <w:rPr>
          <w:rFonts w:hint="eastAsia" w:ascii="宋体" w:hAnsi="宋体"/>
          <w:szCs w:val="21"/>
          <w:highlight w:val="none"/>
        </w:rPr>
        <w:t>（9）视为供应商串通投标的；</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 xml:space="preserve">）向采购单位行贿或者提供其他不正当利益的； </w:t>
      </w:r>
    </w:p>
    <w:p>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 xml:space="preserve">）在招标采购过程中与采购人进行磋商、不按照磋商文件和成交供应商的响应文件订立合同，或者与采购人另行订立背离合同实质性内容的协议； </w:t>
      </w:r>
    </w:p>
    <w:p>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）拒绝有关部门监督检查或者提供虚假情况的；</w:t>
      </w:r>
    </w:p>
    <w:p>
      <w:pPr>
        <w:spacing w:line="360" w:lineRule="auto"/>
        <w:ind w:left="420"/>
        <w:rPr>
          <w:rFonts w:ascii="宋体" w:hAnsi="宋体"/>
          <w:szCs w:val="21"/>
          <w:highlight w:val="none"/>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w:t>
      </w:r>
    </w:p>
    <w:p>
      <w:pPr>
        <w:spacing w:line="360" w:lineRule="auto"/>
        <w:ind w:left="420"/>
        <w:rPr>
          <w:rFonts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）提供中小企业声明函内容不实的，属于提供虚假材料谋取中标、成交；</w:t>
      </w:r>
    </w:p>
    <w:p>
      <w:pPr>
        <w:spacing w:line="360" w:lineRule="auto"/>
        <w:ind w:firstLine="420" w:firstLineChars="200"/>
        <w:rPr>
          <w:rFonts w:ascii="宋体" w:cs="宋体"/>
          <w:szCs w:val="21"/>
          <w:highlight w:val="none"/>
        </w:rPr>
      </w:pPr>
      <w:r>
        <w:rPr>
          <w:rFonts w:hint="eastAsia" w:ascii="宋体" w:hAnsi="宋体"/>
          <w:szCs w:val="21"/>
          <w:highlight w:val="none"/>
        </w:rPr>
        <w:t>（15）法律、法规约定及磋商文件约定的其他情形</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供应商上述行为给采购人造成的损失，供应商应当予以赔偿。</w:t>
      </w:r>
    </w:p>
    <w:p>
      <w:pPr>
        <w:spacing w:line="360" w:lineRule="auto"/>
        <w:ind w:firstLine="420" w:firstLineChars="200"/>
        <w:rPr>
          <w:rFonts w:ascii="宋体" w:hAnsi="宋体"/>
          <w:szCs w:val="21"/>
          <w:highlight w:val="none"/>
        </w:rPr>
      </w:pPr>
      <w:r>
        <w:rPr>
          <w:rFonts w:hint="eastAsia" w:ascii="宋体" w:hAnsi="宋体"/>
          <w:szCs w:val="21"/>
          <w:highlight w:val="none"/>
        </w:rPr>
        <w:t>14.</w:t>
      </w:r>
      <w:r>
        <w:rPr>
          <w:rFonts w:ascii="宋体" w:hAnsi="宋体"/>
          <w:szCs w:val="21"/>
          <w:highlight w:val="none"/>
        </w:rPr>
        <w:t>2</w:t>
      </w:r>
      <w:r>
        <w:rPr>
          <w:rFonts w:hint="eastAsia" w:ascii="宋体" w:hAnsi="宋体"/>
          <w:szCs w:val="21"/>
          <w:highlight w:val="none"/>
        </w:rPr>
        <w:t>、有下列情形之一的，视为供应商串通投标，其磋商响应无效：</w:t>
      </w:r>
    </w:p>
    <w:p>
      <w:pPr>
        <w:spacing w:line="360" w:lineRule="auto"/>
        <w:ind w:firstLine="420" w:firstLineChars="200"/>
        <w:rPr>
          <w:rFonts w:ascii="宋体" w:hAnsi="宋体"/>
          <w:szCs w:val="21"/>
          <w:highlight w:val="none"/>
        </w:rPr>
      </w:pPr>
      <w:r>
        <w:rPr>
          <w:rFonts w:hint="eastAsia" w:ascii="宋体" w:hAnsi="宋体"/>
          <w:szCs w:val="21"/>
          <w:highlight w:val="none"/>
        </w:rPr>
        <w:t>（1）不同供应商的磋商响应文件由同一单位或者个人编制；</w:t>
      </w:r>
    </w:p>
    <w:p>
      <w:pPr>
        <w:spacing w:line="360" w:lineRule="auto"/>
        <w:ind w:firstLine="420" w:firstLineChars="200"/>
        <w:rPr>
          <w:rFonts w:ascii="宋体" w:hAnsi="宋体"/>
          <w:szCs w:val="21"/>
          <w:highlight w:val="none"/>
        </w:rPr>
      </w:pPr>
      <w:r>
        <w:rPr>
          <w:rFonts w:hint="eastAsia" w:ascii="宋体" w:hAnsi="宋体"/>
          <w:szCs w:val="21"/>
          <w:highlight w:val="none"/>
        </w:rPr>
        <w:t>（2）不同供应商委托同一单位或者个人办理磋商响应事宜；</w:t>
      </w:r>
    </w:p>
    <w:p>
      <w:pPr>
        <w:spacing w:line="360" w:lineRule="auto"/>
        <w:ind w:firstLine="420" w:firstLineChars="200"/>
        <w:rPr>
          <w:rFonts w:ascii="宋体" w:hAnsi="宋体"/>
          <w:szCs w:val="21"/>
          <w:highlight w:val="none"/>
        </w:rPr>
      </w:pPr>
      <w:r>
        <w:rPr>
          <w:rFonts w:hint="eastAsia" w:ascii="宋体" w:hAnsi="宋体"/>
          <w:szCs w:val="21"/>
          <w:highlight w:val="none"/>
        </w:rPr>
        <w:t>（3）不同供应商的磋商响应文件载明的项目管理成员或联系人员为同一人；</w:t>
      </w:r>
    </w:p>
    <w:p>
      <w:pPr>
        <w:spacing w:line="360" w:lineRule="auto"/>
        <w:ind w:firstLine="420" w:firstLineChars="200"/>
        <w:rPr>
          <w:rFonts w:ascii="宋体" w:hAnsi="宋体"/>
          <w:szCs w:val="21"/>
          <w:highlight w:val="none"/>
        </w:rPr>
      </w:pPr>
      <w:r>
        <w:rPr>
          <w:rFonts w:hint="eastAsia" w:ascii="宋体" w:hAnsi="宋体"/>
          <w:szCs w:val="21"/>
          <w:highlight w:val="none"/>
        </w:rPr>
        <w:t>（4）不同供应商的磋商响应文件异常一致或者磋商响应报价呈规律性差异；</w:t>
      </w:r>
    </w:p>
    <w:p>
      <w:pPr>
        <w:spacing w:line="360" w:lineRule="auto"/>
        <w:ind w:firstLine="420" w:firstLineChars="200"/>
        <w:rPr>
          <w:rFonts w:ascii="宋体" w:hAnsi="宋体"/>
          <w:szCs w:val="21"/>
          <w:highlight w:val="none"/>
        </w:rPr>
      </w:pPr>
      <w:r>
        <w:rPr>
          <w:rFonts w:hint="eastAsia" w:ascii="宋体" w:hAnsi="宋体"/>
          <w:szCs w:val="21"/>
          <w:highlight w:val="none"/>
        </w:rPr>
        <w:t>（5）不同供应商的磋商响应文件相互混装；</w:t>
      </w:r>
    </w:p>
    <w:p>
      <w:pPr>
        <w:spacing w:line="360" w:lineRule="auto"/>
        <w:ind w:firstLine="420" w:firstLineChars="200"/>
        <w:rPr>
          <w:rFonts w:ascii="宋体" w:hAnsi="宋体"/>
          <w:b/>
          <w:szCs w:val="21"/>
          <w:highlight w:val="none"/>
        </w:rPr>
      </w:pPr>
      <w:r>
        <w:rPr>
          <w:rFonts w:ascii="宋体" w:hAnsi="宋体" w:cs="宋体"/>
          <w:szCs w:val="21"/>
          <w:highlight w:val="none"/>
        </w:rPr>
        <w:t>14.3</w:t>
      </w:r>
      <w:r>
        <w:rPr>
          <w:rFonts w:hint="eastAsia" w:ascii="宋体" w:hAnsi="宋体" w:cs="宋体"/>
          <w:szCs w:val="21"/>
          <w:highlight w:val="none"/>
        </w:rPr>
        <w:t>、</w:t>
      </w:r>
      <w:r>
        <w:rPr>
          <w:rFonts w:hint="eastAsia" w:ascii="宋体" w:hAnsi="宋体"/>
          <w:b/>
          <w:szCs w:val="21"/>
          <w:highlight w:val="none"/>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rPr>
          <w:highlight w:val="none"/>
        </w:rPr>
      </w:pPr>
      <w:r>
        <w:rPr>
          <w:rFonts w:hint="eastAsia"/>
          <w:highlight w:val="none"/>
        </w:rPr>
        <w:t>（1）成交后无正当理由不与采购单位签订合同的；</w:t>
      </w:r>
    </w:p>
    <w:p>
      <w:pPr>
        <w:widowControl/>
        <w:spacing w:line="500" w:lineRule="exact"/>
        <w:ind w:firstLine="420" w:firstLineChars="200"/>
        <w:jc w:val="left"/>
        <w:rPr>
          <w:rFonts w:ascii="宋体" w:hAnsi="宋体"/>
          <w:szCs w:val="21"/>
          <w:highlight w:val="none"/>
        </w:rPr>
      </w:pPr>
      <w:r>
        <w:rPr>
          <w:rFonts w:hint="eastAsia"/>
          <w:highlight w:val="none"/>
        </w:rPr>
        <w:t>（2）</w:t>
      </w:r>
      <w:r>
        <w:rPr>
          <w:rFonts w:hint="eastAsia" w:ascii="宋体" w:hAnsi="宋体"/>
          <w:szCs w:val="21"/>
          <w:highlight w:val="none"/>
        </w:rPr>
        <w:t>在签订合同时向采购人提出附加条件，或者不按照磋商文件要求提交履约保证金的；</w:t>
      </w:r>
    </w:p>
    <w:p>
      <w:pPr>
        <w:widowControl/>
        <w:spacing w:line="500" w:lineRule="exact"/>
        <w:ind w:firstLine="420" w:firstLineChars="200"/>
        <w:jc w:val="left"/>
        <w:rPr>
          <w:highlight w:val="none"/>
        </w:rPr>
      </w:pPr>
      <w:r>
        <w:rPr>
          <w:rFonts w:hint="eastAsia"/>
          <w:highlight w:val="none"/>
        </w:rPr>
        <w:t>（3）将成交项目转让给他人，或在响应文件中未说明，将成交项目分包给他人的；</w:t>
      </w:r>
    </w:p>
    <w:p>
      <w:pPr>
        <w:spacing w:line="360" w:lineRule="auto"/>
        <w:ind w:firstLine="420" w:firstLineChars="200"/>
        <w:rPr>
          <w:highlight w:val="none"/>
        </w:rPr>
      </w:pPr>
      <w:r>
        <w:rPr>
          <w:rFonts w:hint="eastAsia"/>
          <w:highlight w:val="none"/>
        </w:rPr>
        <w:t>（4）</w:t>
      </w:r>
      <w:r>
        <w:rPr>
          <w:rFonts w:hint="eastAsia" w:ascii="宋体" w:hAnsi="宋体"/>
          <w:szCs w:val="21"/>
          <w:highlight w:val="none"/>
        </w:rPr>
        <w:t>供应商相互串通或者与采购人串通的；</w:t>
      </w:r>
    </w:p>
    <w:p>
      <w:pPr>
        <w:spacing w:line="360" w:lineRule="auto"/>
        <w:ind w:firstLine="420" w:firstLineChars="200"/>
        <w:rPr>
          <w:rFonts w:ascii="宋体" w:hAnsi="宋体"/>
          <w:szCs w:val="21"/>
          <w:highlight w:val="none"/>
        </w:rPr>
      </w:pPr>
      <w:r>
        <w:rPr>
          <w:rFonts w:hint="eastAsia" w:ascii="宋体" w:hAnsi="宋体"/>
          <w:szCs w:val="21"/>
          <w:highlight w:val="none"/>
        </w:rPr>
        <w:t>（5）供应商以向采购人或者</w:t>
      </w:r>
      <w:r>
        <w:rPr>
          <w:rFonts w:hint="eastAsia" w:ascii="宋体" w:hAnsi="宋体"/>
          <w:szCs w:val="21"/>
          <w:highlight w:val="none"/>
          <w:lang w:eastAsia="zh-CN"/>
        </w:rPr>
        <w:t>磋商小组</w:t>
      </w:r>
      <w:r>
        <w:rPr>
          <w:rFonts w:hint="eastAsia" w:ascii="宋体" w:hAnsi="宋体"/>
          <w:szCs w:val="21"/>
          <w:highlight w:val="none"/>
        </w:rPr>
        <w:t>成员行贿的手段谋取成交的；</w:t>
      </w:r>
    </w:p>
    <w:p>
      <w:pPr>
        <w:spacing w:line="360" w:lineRule="auto"/>
        <w:ind w:firstLine="420" w:firstLineChars="200"/>
        <w:rPr>
          <w:rFonts w:ascii="宋体" w:hAnsi="宋体"/>
          <w:szCs w:val="21"/>
          <w:highlight w:val="none"/>
        </w:rPr>
      </w:pPr>
      <w:r>
        <w:rPr>
          <w:rFonts w:hint="eastAsia" w:ascii="宋体" w:hAnsi="宋体"/>
          <w:szCs w:val="21"/>
          <w:highlight w:val="none"/>
        </w:rPr>
        <w:t>（6）供应商以他人名义磋商或者以其他方式弄虚作假，骗取成交的；</w:t>
      </w:r>
    </w:p>
    <w:p>
      <w:pPr>
        <w:spacing w:line="360" w:lineRule="auto"/>
        <w:ind w:firstLine="420" w:firstLineChars="200"/>
        <w:rPr>
          <w:rFonts w:ascii="宋体" w:hAnsi="宋体"/>
          <w:szCs w:val="21"/>
          <w:highlight w:val="none"/>
        </w:rPr>
      </w:pPr>
      <w:r>
        <w:rPr>
          <w:rFonts w:hint="eastAsia" w:ascii="宋体" w:hAnsi="宋体"/>
          <w:szCs w:val="21"/>
          <w:highlight w:val="none"/>
        </w:rPr>
        <w:t>（7）违法与采购人就磋商价格、服务方案等实质性内容进行磋商，影响成交结果的；</w:t>
      </w:r>
    </w:p>
    <w:p>
      <w:pPr>
        <w:widowControl/>
        <w:spacing w:line="500" w:lineRule="exact"/>
        <w:ind w:firstLine="420" w:firstLineChars="200"/>
        <w:jc w:val="left"/>
        <w:rPr>
          <w:rFonts w:ascii="宋体" w:cs="宋体"/>
          <w:highlight w:val="none"/>
        </w:rPr>
      </w:pPr>
      <w:r>
        <w:rPr>
          <w:rFonts w:hint="eastAsia" w:ascii="宋体" w:hAnsi="宋体"/>
          <w:szCs w:val="21"/>
          <w:highlight w:val="none"/>
        </w:rPr>
        <w:t>（8）法律、法规规定及磋商文件约定的其他情形</w:t>
      </w:r>
      <w:r>
        <w:rPr>
          <w:rFonts w:hint="eastAsia" w:ascii="宋体" w:hAnsi="宋体" w:cs="宋体"/>
          <w:highlight w:val="none"/>
        </w:rPr>
        <w:t>。</w:t>
      </w:r>
    </w:p>
    <w:p>
      <w:pPr>
        <w:spacing w:line="360" w:lineRule="auto"/>
        <w:ind w:firstLine="422" w:firstLineChars="200"/>
        <w:rPr>
          <w:rFonts w:ascii="宋体" w:cs="宋体"/>
          <w:b/>
          <w:szCs w:val="21"/>
          <w:highlight w:val="none"/>
        </w:rPr>
      </w:pPr>
      <w:r>
        <w:rPr>
          <w:rFonts w:ascii="宋体" w:hAnsi="宋体" w:cs="宋体"/>
          <w:b/>
          <w:szCs w:val="21"/>
          <w:highlight w:val="none"/>
        </w:rPr>
        <w:t>15</w:t>
      </w:r>
      <w:r>
        <w:rPr>
          <w:rFonts w:hint="eastAsia" w:ascii="宋体" w:hAnsi="宋体" w:cs="宋体"/>
          <w:b/>
          <w:szCs w:val="21"/>
          <w:highlight w:val="none"/>
        </w:rPr>
        <w:t>、磋商有效期</w:t>
      </w:r>
    </w:p>
    <w:p>
      <w:pPr>
        <w:spacing w:line="360" w:lineRule="auto"/>
        <w:ind w:firstLine="420" w:firstLineChars="200"/>
        <w:rPr>
          <w:rFonts w:ascii="宋体" w:cs="宋体"/>
          <w:szCs w:val="21"/>
          <w:highlight w:val="none"/>
        </w:rPr>
      </w:pPr>
      <w:r>
        <w:rPr>
          <w:rFonts w:ascii="宋体" w:hAnsi="宋体" w:cs="宋体"/>
          <w:szCs w:val="21"/>
          <w:highlight w:val="none"/>
        </w:rPr>
        <w:t>15.1</w:t>
      </w:r>
      <w:r>
        <w:rPr>
          <w:rFonts w:hint="eastAsia" w:ascii="宋体" w:hAnsi="宋体" w:cs="宋体"/>
          <w:szCs w:val="21"/>
          <w:highlight w:val="none"/>
        </w:rPr>
        <w:t>、磋商有效期见“磋商须知前附表”的约定。</w:t>
      </w:r>
    </w:p>
    <w:p>
      <w:pPr>
        <w:spacing w:line="360" w:lineRule="auto"/>
        <w:ind w:firstLine="420" w:firstLineChars="200"/>
        <w:rPr>
          <w:rFonts w:ascii="宋体" w:cs="宋体"/>
          <w:szCs w:val="21"/>
          <w:highlight w:val="none"/>
        </w:rPr>
      </w:pPr>
      <w:r>
        <w:rPr>
          <w:rFonts w:ascii="宋体" w:hAnsi="宋体" w:cs="宋体"/>
          <w:szCs w:val="21"/>
          <w:highlight w:val="none"/>
        </w:rPr>
        <w:t>15.2</w:t>
      </w:r>
      <w:r>
        <w:rPr>
          <w:rFonts w:hint="eastAsia" w:ascii="宋体" w:hAnsi="宋体" w:cs="宋体"/>
          <w:szCs w:val="21"/>
          <w:highlight w:val="none"/>
        </w:rPr>
        <w:t>、在磋商有效期内，供应商不得要求撤销或修改其响应文件。</w:t>
      </w:r>
    </w:p>
    <w:p>
      <w:pPr>
        <w:spacing w:line="360" w:lineRule="auto"/>
        <w:ind w:firstLine="420" w:firstLineChars="200"/>
        <w:rPr>
          <w:rFonts w:ascii="宋体" w:cs="宋体"/>
          <w:szCs w:val="21"/>
          <w:highlight w:val="none"/>
        </w:rPr>
      </w:pPr>
      <w:r>
        <w:rPr>
          <w:rFonts w:ascii="宋体" w:hAnsi="宋体" w:cs="宋体"/>
          <w:szCs w:val="21"/>
          <w:highlight w:val="none"/>
        </w:rPr>
        <w:t>15.3</w:t>
      </w:r>
      <w:r>
        <w:rPr>
          <w:rFonts w:hint="eastAsia" w:ascii="宋体" w:hAnsi="宋体" w:cs="宋体"/>
          <w:szCs w:val="21"/>
          <w:highlight w:val="none"/>
        </w:rPr>
        <w:t>、磋商有效期从响应文件提交截止时间算起。</w:t>
      </w:r>
    </w:p>
    <w:p>
      <w:pPr>
        <w:spacing w:line="360" w:lineRule="auto"/>
        <w:ind w:firstLine="420" w:firstLineChars="200"/>
        <w:rPr>
          <w:rFonts w:ascii="宋体" w:cs="宋体"/>
          <w:szCs w:val="21"/>
          <w:highlight w:val="none"/>
        </w:rPr>
      </w:pPr>
      <w:r>
        <w:rPr>
          <w:rFonts w:ascii="宋体" w:hAnsi="宋体" w:cs="宋体"/>
          <w:szCs w:val="21"/>
          <w:highlight w:val="none"/>
        </w:rPr>
        <w:t>15.4</w:t>
      </w:r>
      <w:r>
        <w:rPr>
          <w:rFonts w:hint="eastAsia" w:ascii="宋体" w:hAnsi="宋体" w:cs="宋体"/>
          <w:szCs w:val="21"/>
          <w:highlight w:val="none"/>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3"/>
        <w:spacing w:line="360" w:lineRule="exact"/>
        <w:ind w:firstLine="422" w:firstLineChars="200"/>
        <w:rPr>
          <w:rFonts w:hAnsi="宋体" w:cs="宋体"/>
          <w:b/>
          <w:highlight w:val="none"/>
        </w:rPr>
      </w:pPr>
      <w:r>
        <w:rPr>
          <w:rFonts w:hAnsi="宋体" w:cs="宋体"/>
          <w:b/>
          <w:highlight w:val="none"/>
        </w:rPr>
        <w:t>16</w:t>
      </w:r>
      <w:r>
        <w:rPr>
          <w:rFonts w:hint="eastAsia" w:hAnsi="宋体" w:cs="宋体"/>
          <w:b/>
          <w:highlight w:val="none"/>
        </w:rPr>
        <w:t>、响应文件的签署</w:t>
      </w:r>
    </w:p>
    <w:p>
      <w:pPr>
        <w:widowControl/>
        <w:spacing w:line="500" w:lineRule="exact"/>
        <w:ind w:firstLine="420" w:firstLineChars="200"/>
        <w:jc w:val="left"/>
        <w:rPr>
          <w:rFonts w:hint="eastAsia" w:ascii="宋体" w:hAnsi="宋体" w:cs="宋体"/>
          <w:szCs w:val="21"/>
          <w:highlight w:val="none"/>
        </w:rPr>
      </w:pPr>
      <w:bookmarkStart w:id="78" w:name="_Toc476584424"/>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.1</w:t>
      </w:r>
      <w:r>
        <w:rPr>
          <w:rFonts w:hint="eastAsia" w:ascii="宋体" w:hAnsi="宋体" w:cs="宋体"/>
          <w:szCs w:val="21"/>
          <w:highlight w:val="none"/>
          <w:lang w:eastAsia="zh-CN"/>
        </w:rPr>
        <w:t>供应商</w:t>
      </w:r>
      <w:r>
        <w:rPr>
          <w:rFonts w:hint="eastAsia" w:ascii="宋体" w:hAnsi="宋体" w:cs="宋体"/>
          <w:szCs w:val="21"/>
          <w:highlight w:val="none"/>
        </w:rPr>
        <w:t>应按本须知前附表规定的格式，编制并提交</w:t>
      </w:r>
      <w:r>
        <w:rPr>
          <w:rFonts w:hint="eastAsia" w:ascii="宋体" w:hAnsi="宋体" w:cs="宋体"/>
          <w:szCs w:val="21"/>
          <w:highlight w:val="none"/>
          <w:lang w:eastAsia="zh-CN"/>
        </w:rPr>
        <w:t>磋商响应文件</w:t>
      </w:r>
      <w:r>
        <w:rPr>
          <w:rFonts w:hint="eastAsia" w:ascii="宋体" w:hAnsi="宋体" w:cs="宋体"/>
          <w:szCs w:val="21"/>
          <w:highlight w:val="none"/>
        </w:rPr>
        <w:t>。</w:t>
      </w:r>
    </w:p>
    <w:p>
      <w:pPr>
        <w:widowControl/>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.2</w:t>
      </w:r>
      <w:r>
        <w:rPr>
          <w:rFonts w:hint="eastAsia" w:ascii="宋体" w:hAnsi="宋体" w:cs="宋体"/>
          <w:szCs w:val="21"/>
          <w:highlight w:val="none"/>
          <w:lang w:eastAsia="zh-CN"/>
        </w:rPr>
        <w:t>供应商</w:t>
      </w:r>
      <w:r>
        <w:rPr>
          <w:rFonts w:hint="eastAsia" w:ascii="宋体" w:hAnsi="宋体" w:cs="宋体"/>
          <w:szCs w:val="21"/>
          <w:highlight w:val="none"/>
        </w:rPr>
        <w:t>应按照</w:t>
      </w:r>
      <w:r>
        <w:rPr>
          <w:rFonts w:hint="eastAsia" w:ascii="宋体" w:hAnsi="宋体" w:cs="宋体"/>
          <w:szCs w:val="21"/>
          <w:highlight w:val="none"/>
          <w:lang w:eastAsia="zh-CN"/>
        </w:rPr>
        <w:t>竞争性磋商文件</w:t>
      </w:r>
      <w:r>
        <w:rPr>
          <w:rFonts w:hint="eastAsia" w:ascii="宋体" w:hAnsi="宋体" w:cs="宋体"/>
          <w:szCs w:val="21"/>
          <w:highlight w:val="none"/>
        </w:rPr>
        <w:t>第四章响应文件格式的要求签字或盖章。</w:t>
      </w:r>
    </w:p>
    <w:p>
      <w:pPr>
        <w:widowControl/>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.3</w:t>
      </w:r>
      <w:r>
        <w:rPr>
          <w:rFonts w:hint="eastAsia" w:ascii="宋体" w:hAnsi="宋体" w:cs="宋体"/>
          <w:szCs w:val="21"/>
          <w:highlight w:val="none"/>
          <w:lang w:eastAsia="zh-CN"/>
        </w:rPr>
        <w:t>供应商</w:t>
      </w:r>
      <w:r>
        <w:rPr>
          <w:rFonts w:hint="eastAsia" w:ascii="宋体" w:hAnsi="宋体" w:cs="宋体"/>
          <w:szCs w:val="21"/>
          <w:highlight w:val="none"/>
        </w:rPr>
        <w:t>按照本须知第19.4条款规定对其响应文件相关内容签署盖章后，其响应文件所有内容均视为确认，对</w:t>
      </w:r>
      <w:r>
        <w:rPr>
          <w:rFonts w:hint="eastAsia" w:ascii="宋体" w:hAnsi="宋体" w:cs="宋体"/>
          <w:szCs w:val="21"/>
          <w:highlight w:val="none"/>
          <w:lang w:eastAsia="zh-CN"/>
        </w:rPr>
        <w:t>供应商</w:t>
      </w:r>
      <w:r>
        <w:rPr>
          <w:rFonts w:hint="eastAsia" w:ascii="宋体" w:hAnsi="宋体" w:cs="宋体"/>
          <w:szCs w:val="21"/>
          <w:highlight w:val="none"/>
        </w:rPr>
        <w:t>起约束作用。</w:t>
      </w:r>
    </w:p>
    <w:p>
      <w:pPr>
        <w:widowControl/>
        <w:spacing w:line="500" w:lineRule="exact"/>
        <w:ind w:firstLine="420" w:firstLineChars="200"/>
        <w:jc w:val="left"/>
        <w:rPr>
          <w:rFonts w:hAnsi="宋体" w:cs="宋体"/>
          <w:spacing w:val="-2"/>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.4除</w:t>
      </w:r>
      <w:r>
        <w:rPr>
          <w:rFonts w:hint="eastAsia" w:ascii="宋体" w:hAnsi="宋体" w:cs="宋体"/>
          <w:szCs w:val="21"/>
          <w:highlight w:val="none"/>
          <w:lang w:eastAsia="zh-CN"/>
        </w:rPr>
        <w:t>供应商</w:t>
      </w:r>
      <w:r>
        <w:rPr>
          <w:rFonts w:hint="eastAsia" w:ascii="宋体" w:hAnsi="宋体" w:cs="宋体"/>
          <w:szCs w:val="21"/>
          <w:highlight w:val="none"/>
        </w:rPr>
        <w:t>对错误处须修改外，全套</w:t>
      </w:r>
      <w:r>
        <w:rPr>
          <w:rFonts w:hint="eastAsia" w:ascii="宋体" w:hAnsi="宋体" w:cs="宋体"/>
          <w:szCs w:val="21"/>
          <w:highlight w:val="none"/>
          <w:lang w:eastAsia="zh-CN"/>
        </w:rPr>
        <w:t>响应文件</w:t>
      </w:r>
      <w:r>
        <w:rPr>
          <w:rFonts w:hint="eastAsia" w:ascii="宋体" w:hAnsi="宋体" w:cs="宋体"/>
          <w:szCs w:val="21"/>
          <w:highlight w:val="none"/>
        </w:rPr>
        <w:t>应无涂改或行间插字和增删。如有修改，修改处应由</w:t>
      </w:r>
      <w:r>
        <w:rPr>
          <w:rFonts w:hint="eastAsia" w:ascii="宋体" w:hAnsi="宋体" w:cs="宋体"/>
          <w:szCs w:val="21"/>
          <w:highlight w:val="none"/>
          <w:lang w:eastAsia="zh-CN"/>
        </w:rPr>
        <w:t>供应商</w:t>
      </w:r>
      <w:r>
        <w:rPr>
          <w:rFonts w:hint="eastAsia" w:ascii="宋体" w:hAnsi="宋体" w:cs="宋体"/>
          <w:szCs w:val="21"/>
          <w:highlight w:val="none"/>
        </w:rPr>
        <w:t>加盖</w:t>
      </w:r>
      <w:r>
        <w:rPr>
          <w:rFonts w:hint="eastAsia" w:ascii="宋体" w:hAnsi="宋体" w:cs="宋体"/>
          <w:szCs w:val="21"/>
          <w:highlight w:val="none"/>
          <w:lang w:eastAsia="zh-CN"/>
        </w:rPr>
        <w:t>供应商</w:t>
      </w:r>
      <w:r>
        <w:rPr>
          <w:rFonts w:hint="eastAsia" w:ascii="宋体" w:hAnsi="宋体" w:cs="宋体"/>
          <w:szCs w:val="21"/>
          <w:highlight w:val="none"/>
        </w:rPr>
        <w:t>公章并经法定代表人或其委托代理人加盖印章。</w:t>
      </w:r>
      <w:r>
        <w:rPr>
          <w:rFonts w:hint="eastAsia" w:ascii="宋体" w:hAnsi="宋体" w:cs="宋体"/>
          <w:szCs w:val="21"/>
          <w:highlight w:val="none"/>
          <w:lang w:eastAsia="zh-CN"/>
        </w:rPr>
        <w:t>响应文件</w:t>
      </w:r>
      <w:r>
        <w:rPr>
          <w:rFonts w:hint="eastAsia" w:ascii="宋体" w:hAnsi="宋体" w:cs="宋体"/>
          <w:szCs w:val="21"/>
          <w:highlight w:val="none"/>
        </w:rPr>
        <w:t>应尽量避免以涂改及行间插字方式进行修改，若</w:t>
      </w:r>
      <w:r>
        <w:rPr>
          <w:rFonts w:hint="eastAsia" w:ascii="宋体" w:hAnsi="宋体" w:cs="宋体"/>
          <w:szCs w:val="21"/>
          <w:highlight w:val="none"/>
          <w:lang w:eastAsia="zh-CN"/>
        </w:rPr>
        <w:t>响应文件</w:t>
      </w:r>
      <w:r>
        <w:rPr>
          <w:rFonts w:hint="eastAsia" w:ascii="宋体" w:hAnsi="宋体" w:cs="宋体"/>
          <w:szCs w:val="21"/>
          <w:highlight w:val="none"/>
        </w:rPr>
        <w:t>存在涂改及行间插字，采购人不承担任何可能因此而造成的辨识错误。</w:t>
      </w:r>
    </w:p>
    <w:p>
      <w:pPr>
        <w:pStyle w:val="5"/>
        <w:ind w:firstLine="422" w:firstLineChars="200"/>
        <w:rPr>
          <w:rFonts w:cs="宋体"/>
          <w:highlight w:val="none"/>
        </w:rPr>
      </w:pPr>
      <w:bookmarkStart w:id="79" w:name="_Toc54941335"/>
      <w:r>
        <w:rPr>
          <w:rFonts w:hint="eastAsia" w:cs="宋体"/>
          <w:highlight w:val="none"/>
        </w:rPr>
        <w:t>四、响应文件的</w:t>
      </w:r>
      <w:bookmarkEnd w:id="78"/>
      <w:r>
        <w:rPr>
          <w:rFonts w:hint="eastAsia" w:cs="宋体"/>
          <w:highlight w:val="none"/>
        </w:rPr>
        <w:t>提交</w:t>
      </w:r>
      <w:bookmarkEnd w:id="79"/>
    </w:p>
    <w:p>
      <w:pPr>
        <w:spacing w:line="360" w:lineRule="auto"/>
        <w:ind w:firstLine="422" w:firstLineChars="200"/>
        <w:rPr>
          <w:rFonts w:ascii="宋体" w:hAnsi="宋体" w:cs="宋体"/>
          <w:b/>
          <w:szCs w:val="21"/>
          <w:highlight w:val="none"/>
        </w:rPr>
      </w:pPr>
      <w:r>
        <w:rPr>
          <w:rFonts w:ascii="宋体" w:hAnsi="宋体" w:cs="宋体"/>
          <w:b/>
          <w:szCs w:val="21"/>
          <w:highlight w:val="none"/>
        </w:rPr>
        <w:t>17</w:t>
      </w:r>
      <w:r>
        <w:rPr>
          <w:rFonts w:hint="eastAsia" w:ascii="宋体" w:hAnsi="宋体" w:cs="宋体"/>
          <w:b/>
          <w:szCs w:val="21"/>
          <w:highlight w:val="none"/>
        </w:rPr>
        <w:t>、提交说明</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17.1、供应商须按磋商须知前附表要求上传加密电子磋商响应文件。</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17.2、未按磋商须知要求上传的磋商响应文件，将不被接受。</w:t>
      </w:r>
    </w:p>
    <w:p>
      <w:pPr>
        <w:spacing w:line="360" w:lineRule="auto"/>
        <w:ind w:firstLine="422" w:firstLineChars="200"/>
        <w:rPr>
          <w:rFonts w:ascii="宋体" w:cs="宋体"/>
          <w:b/>
          <w:szCs w:val="21"/>
          <w:highlight w:val="none"/>
        </w:rPr>
      </w:pPr>
      <w:r>
        <w:rPr>
          <w:rFonts w:ascii="宋体" w:hAnsi="宋体" w:cs="宋体"/>
          <w:b/>
          <w:szCs w:val="21"/>
          <w:highlight w:val="none"/>
        </w:rPr>
        <w:t>18</w:t>
      </w:r>
      <w:r>
        <w:rPr>
          <w:rFonts w:hint="eastAsia" w:ascii="宋体" w:hAnsi="宋体" w:cs="宋体"/>
          <w:b/>
          <w:szCs w:val="21"/>
          <w:highlight w:val="none"/>
        </w:rPr>
        <w:t>、磋商时间</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18.1、供应商应在磋商须知前附表中约定的提交响应文件截止时间前将加密电子磋商响应文件（.AQTF格式）上传。逾期上传的磋商响应文件，采购单位不予受理。</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highlight w:val="none"/>
        </w:rPr>
      </w:pPr>
      <w:r>
        <w:rPr>
          <w:rFonts w:ascii="宋体" w:hAnsi="宋体" w:cs="宋体"/>
          <w:b/>
          <w:szCs w:val="21"/>
          <w:highlight w:val="none"/>
        </w:rPr>
        <w:t>19</w:t>
      </w:r>
      <w:r>
        <w:rPr>
          <w:rFonts w:hint="eastAsia" w:ascii="宋体" w:hAnsi="宋体" w:cs="宋体"/>
          <w:b/>
          <w:szCs w:val="21"/>
          <w:highlight w:val="none"/>
        </w:rPr>
        <w:t>、响应文件的修改与撤回</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19.1、供应商提交磋商响应文件以后，在约定的提交响应文件截止时间之前，可以撤回已提交的磋商响应文件，补充修改后重新上传。</w:t>
      </w:r>
    </w:p>
    <w:p>
      <w:pPr>
        <w:spacing w:line="360" w:lineRule="auto"/>
        <w:ind w:firstLine="420" w:firstLineChars="200"/>
        <w:rPr>
          <w:rFonts w:ascii="宋体" w:cs="宋体"/>
          <w:szCs w:val="21"/>
          <w:highlight w:val="none"/>
        </w:rPr>
      </w:pPr>
      <w:r>
        <w:rPr>
          <w:rFonts w:ascii="宋体" w:hAnsi="宋体" w:cs="宋体"/>
          <w:szCs w:val="21"/>
          <w:highlight w:val="none"/>
        </w:rPr>
        <w:t>19.</w:t>
      </w:r>
      <w:r>
        <w:rPr>
          <w:rFonts w:hint="eastAsia" w:ascii="宋体" w:hAnsi="宋体" w:cs="宋体"/>
          <w:szCs w:val="21"/>
          <w:highlight w:val="none"/>
        </w:rPr>
        <w:t>2、在磋商时间之后，供应商不得对其响应文件做任何修改。</w:t>
      </w:r>
    </w:p>
    <w:p>
      <w:pPr>
        <w:spacing w:line="360" w:lineRule="auto"/>
        <w:ind w:firstLine="420" w:firstLineChars="200"/>
        <w:rPr>
          <w:rFonts w:ascii="宋体" w:cs="宋体"/>
          <w:szCs w:val="21"/>
          <w:highlight w:val="none"/>
        </w:rPr>
      </w:pPr>
      <w:r>
        <w:rPr>
          <w:rFonts w:ascii="宋体" w:hAnsi="宋体" w:cs="宋体"/>
          <w:szCs w:val="21"/>
          <w:highlight w:val="none"/>
        </w:rPr>
        <w:t>19.</w:t>
      </w:r>
      <w:r>
        <w:rPr>
          <w:rFonts w:hint="eastAsia" w:ascii="宋体" w:hAnsi="宋体" w:cs="宋体"/>
          <w:szCs w:val="21"/>
          <w:highlight w:val="none"/>
        </w:rPr>
        <w:t>3、在约定的磋商有效期内，供应商不得撤回其响应文件。</w:t>
      </w:r>
    </w:p>
    <w:p>
      <w:pPr>
        <w:pStyle w:val="5"/>
        <w:spacing w:line="360" w:lineRule="auto"/>
        <w:ind w:firstLine="413" w:firstLineChars="196"/>
        <w:rPr>
          <w:rFonts w:cs="宋体"/>
          <w:highlight w:val="none"/>
        </w:rPr>
      </w:pPr>
      <w:bookmarkStart w:id="80" w:name="_Toc476584425"/>
      <w:bookmarkStart w:id="81" w:name="_Toc54941336"/>
      <w:r>
        <w:rPr>
          <w:rFonts w:hint="eastAsia" w:cs="宋体"/>
          <w:highlight w:val="none"/>
        </w:rPr>
        <w:t>五、</w:t>
      </w:r>
      <w:bookmarkEnd w:id="80"/>
      <w:r>
        <w:rPr>
          <w:rFonts w:hint="eastAsia" w:cs="宋体"/>
          <w:highlight w:val="none"/>
        </w:rPr>
        <w:t>磋商</w:t>
      </w:r>
      <w:bookmarkEnd w:id="81"/>
    </w:p>
    <w:p>
      <w:pPr>
        <w:spacing w:line="360" w:lineRule="auto"/>
        <w:ind w:firstLine="422" w:firstLineChars="200"/>
        <w:rPr>
          <w:rFonts w:ascii="宋体" w:cs="宋体"/>
          <w:szCs w:val="21"/>
          <w:highlight w:val="none"/>
        </w:rPr>
      </w:pPr>
      <w:r>
        <w:rPr>
          <w:rFonts w:ascii="宋体" w:hAnsi="宋体" w:cs="宋体"/>
          <w:b/>
          <w:szCs w:val="21"/>
          <w:highlight w:val="none"/>
        </w:rPr>
        <w:t>20</w:t>
      </w:r>
      <w:r>
        <w:rPr>
          <w:rFonts w:hint="eastAsia" w:ascii="宋体" w:hAnsi="宋体" w:cs="宋体"/>
          <w:b/>
          <w:szCs w:val="21"/>
          <w:highlight w:val="none"/>
        </w:rPr>
        <w:t>、磋商时间和地点：</w:t>
      </w:r>
      <w:r>
        <w:rPr>
          <w:rFonts w:hint="eastAsia" w:ascii="宋体" w:hAnsi="宋体" w:cs="宋体"/>
          <w:szCs w:val="21"/>
          <w:highlight w:val="none"/>
        </w:rPr>
        <w:t>采购单位将在“磋商须知前附表”约定的时间，</w:t>
      </w:r>
      <w:r>
        <w:rPr>
          <w:rFonts w:hint="eastAsia" w:ascii="宋体" w:hAnsi="宋体"/>
          <w:szCs w:val="21"/>
          <w:highlight w:val="none"/>
        </w:rPr>
        <w:t>通过安庆市公共资源电子交易平台实行线上磋商，项目监督人员、所有投标人的法定代表人或其委托代理人必须准时在线参加。</w:t>
      </w:r>
    </w:p>
    <w:p>
      <w:pPr>
        <w:spacing w:line="360" w:lineRule="auto"/>
        <w:ind w:firstLine="422" w:firstLineChars="200"/>
        <w:rPr>
          <w:rFonts w:ascii="宋体" w:hAnsi="宋体" w:cs="宋体"/>
          <w:b/>
          <w:szCs w:val="21"/>
          <w:highlight w:val="none"/>
        </w:rPr>
      </w:pPr>
      <w:r>
        <w:rPr>
          <w:rFonts w:ascii="宋体" w:hAnsi="宋体" w:cs="宋体"/>
          <w:b/>
          <w:szCs w:val="21"/>
          <w:highlight w:val="none"/>
        </w:rPr>
        <w:t>21</w:t>
      </w:r>
      <w:r>
        <w:rPr>
          <w:rFonts w:hint="eastAsia" w:ascii="宋体" w:hAnsi="宋体" w:cs="宋体"/>
          <w:b/>
          <w:szCs w:val="21"/>
          <w:highlight w:val="none"/>
        </w:rPr>
        <w:t>、开标程序</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21.1、磋商由采购单位代表主持，主持人按下列程序进行：</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21.1.1、宣布项目名称、介绍参会人员；</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21.1.2、宣布开标纪律；</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21.1.3、由采购人代表查验磋商供应商获取磋商文件情况并记录；</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21.1.4、各磋商供应商在提交响应文件截止时间后60分钟内自行在电子交易系统完成磋商响应文件的解密工作；</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21.1.5、采购单位解密；　</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21.1.6、采购人代表、监督人、记录人等有关人员在开标记录表上签字确认；</w:t>
      </w:r>
      <w:r>
        <w:rPr>
          <w:rFonts w:hint="eastAsia" w:ascii="宋体" w:hAnsi="宋体" w:cs="宋体"/>
          <w:color w:val="000000"/>
          <w:szCs w:val="21"/>
          <w:highlight w:val="none"/>
        </w:rPr>
        <w:cr/>
      </w:r>
      <w:r>
        <w:rPr>
          <w:rFonts w:hint="eastAsia" w:ascii="宋体" w:hAnsi="宋体" w:cs="宋体"/>
          <w:color w:val="000000"/>
          <w:szCs w:val="21"/>
          <w:highlight w:val="none"/>
        </w:rPr>
        <w:t xml:space="preserve">    21.1.7、进入评审阶段；</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21.1.8、磋商小组与各个磋商供应商进行线上磋商；</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21.1.9、邀请通过符合性审查的磋商供应商限时进行线上最终报价；待所有有效磋商供应商的报价上传电子交易平台完成后，统一开启磋商供应商最终报价。</w:t>
      </w:r>
    </w:p>
    <w:p>
      <w:pPr>
        <w:widowControl/>
        <w:spacing w:line="500" w:lineRule="exact"/>
        <w:ind w:firstLine="420" w:firstLineChars="200"/>
        <w:jc w:val="left"/>
        <w:rPr>
          <w:rFonts w:ascii="宋体" w:hAnsi="宋体" w:cs="宋体"/>
          <w:b/>
          <w:szCs w:val="21"/>
          <w:highlight w:val="none"/>
        </w:rPr>
      </w:pPr>
      <w:r>
        <w:rPr>
          <w:rFonts w:hint="eastAsia" w:ascii="宋体" w:hAnsi="宋体" w:cs="宋体"/>
          <w:color w:val="000000"/>
          <w:szCs w:val="21"/>
          <w:highlight w:val="none"/>
        </w:rPr>
        <w:t>21.1.10、宣布评审结果，并公布磋商供应商名称、磋商最终报价，评审总分，并记录在案，同时上传至电子交易系统供各磋商供应商查阅。</w:t>
      </w:r>
    </w:p>
    <w:p>
      <w:pPr>
        <w:spacing w:line="360" w:lineRule="auto"/>
        <w:ind w:firstLine="422" w:firstLineChars="200"/>
        <w:rPr>
          <w:rFonts w:ascii="宋体" w:hAnsi="宋体" w:cs="宋体"/>
          <w:szCs w:val="21"/>
          <w:highlight w:val="none"/>
        </w:rPr>
      </w:pPr>
      <w:r>
        <w:rPr>
          <w:rFonts w:ascii="宋体" w:hAnsi="宋体" w:cs="宋体"/>
          <w:b/>
          <w:szCs w:val="21"/>
          <w:highlight w:val="none"/>
        </w:rPr>
        <w:t>21.2</w:t>
      </w:r>
      <w:r>
        <w:rPr>
          <w:rFonts w:hint="eastAsia" w:ascii="宋体" w:hAnsi="宋体" w:cs="宋体"/>
          <w:b/>
          <w:szCs w:val="21"/>
          <w:highlight w:val="none"/>
        </w:rPr>
        <w:t>、</w:t>
      </w:r>
      <w:r>
        <w:rPr>
          <w:rFonts w:hint="eastAsia" w:ascii="宋体" w:hAnsi="宋体" w:cs="宋体"/>
          <w:szCs w:val="21"/>
          <w:highlight w:val="none"/>
        </w:rPr>
        <w:t>供应商必须对其响应文件中所有资料的真实性负责。若发现供应商有弄虚作假行为的，响应无效，由相关管理部门按照磋商文件相应条款对其做相应处罚。</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21.3供应商应当在提交响应文件截止时间前完成响应文件的传输提交，未在提交响应文件截止时间前通过安庆市公共资源交易服务网提交有效电子响应文件的，系统不予接收，视为未提交响应文件。</w:t>
      </w:r>
    </w:p>
    <w:p>
      <w:pPr>
        <w:pStyle w:val="33"/>
        <w:spacing w:line="360" w:lineRule="auto"/>
        <w:ind w:firstLine="420" w:firstLineChars="200"/>
        <w:rPr>
          <w:rFonts w:cs="宋体"/>
          <w:highlight w:val="none"/>
        </w:rPr>
      </w:pPr>
      <w:r>
        <w:rPr>
          <w:rFonts w:hint="eastAsia" w:hAnsi="宋体" w:cs="宋体"/>
          <w:color w:val="000000"/>
          <w:highlight w:val="none"/>
        </w:rPr>
        <w:t>21.4</w:t>
      </w:r>
      <w:r>
        <w:rPr>
          <w:rFonts w:hint="eastAsia" w:hAnsi="宋体"/>
          <w:highlight w:val="none"/>
        </w:rPr>
        <w:t>各供应商在解密开始时间（提交响应文件截止时间）后，60分钟内自行在电子交易系统完成磋商响应文件的解密工作，因供应商自身原因导致磋商响应文件在规定时间内未能解密、解密失败或解密超时，磋商响应文件无效；因电子交易系统发生故障或其他不可抗力情况，导致无法按时完成磋商响应文件解密的，工作人员可延迟解密时间。</w:t>
      </w:r>
    </w:p>
    <w:p>
      <w:pPr>
        <w:spacing w:line="360" w:lineRule="auto"/>
        <w:ind w:left="420" w:leftChars="200"/>
        <w:rPr>
          <w:rFonts w:ascii="宋体" w:cs="宋体"/>
          <w:b/>
          <w:szCs w:val="21"/>
          <w:highlight w:val="none"/>
        </w:rPr>
      </w:pPr>
      <w:r>
        <w:rPr>
          <w:rFonts w:ascii="宋体" w:hAnsi="宋体" w:cs="宋体"/>
          <w:b/>
          <w:szCs w:val="21"/>
          <w:highlight w:val="none"/>
        </w:rPr>
        <w:t>22</w:t>
      </w:r>
      <w:r>
        <w:rPr>
          <w:rFonts w:hint="eastAsia" w:ascii="宋体" w:hAnsi="宋体" w:cs="宋体"/>
          <w:b/>
          <w:szCs w:val="21"/>
          <w:highlight w:val="none"/>
        </w:rPr>
        <w:t>、响应文件的有效性</w:t>
      </w:r>
    </w:p>
    <w:p>
      <w:pPr>
        <w:spacing w:line="360" w:lineRule="auto"/>
        <w:ind w:firstLine="420" w:firstLineChars="200"/>
        <w:rPr>
          <w:rFonts w:ascii="宋体" w:cs="宋体"/>
          <w:szCs w:val="21"/>
          <w:highlight w:val="none"/>
        </w:rPr>
      </w:pPr>
      <w:r>
        <w:rPr>
          <w:rFonts w:ascii="宋体" w:hAnsi="宋体" w:cs="宋体"/>
          <w:szCs w:val="21"/>
          <w:highlight w:val="none"/>
        </w:rPr>
        <w:t>22.1</w:t>
      </w:r>
      <w:r>
        <w:rPr>
          <w:rFonts w:hint="eastAsia" w:ascii="宋体" w:hAnsi="宋体" w:cs="宋体"/>
          <w:szCs w:val="21"/>
          <w:highlight w:val="none"/>
        </w:rPr>
        <w:t>、响应文件逾期上传的，将不予受理：</w:t>
      </w:r>
      <w:r>
        <w:rPr>
          <w:rFonts w:ascii="宋体" w:hAnsi="宋体" w:cs="宋体"/>
          <w:szCs w:val="21"/>
          <w:highlight w:val="none"/>
        </w:rPr>
        <w:t xml:space="preserve"> </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rPr>
        <w:t>、磋商过程中发现有下列情况的，由磋商小组评审后，认定为磋商响应无效：</w:t>
      </w:r>
    </w:p>
    <w:p>
      <w:pPr>
        <w:spacing w:line="420" w:lineRule="exact"/>
        <w:ind w:firstLine="420" w:firstLineChars="200"/>
        <w:rPr>
          <w:rFonts w:ascii="宋体" w:cs="宋体"/>
          <w:szCs w:val="21"/>
          <w:highlight w:val="none"/>
        </w:rPr>
      </w:pPr>
      <w:r>
        <w:rPr>
          <w:rFonts w:ascii="宋体" w:hAnsi="宋体" w:cs="宋体"/>
          <w:szCs w:val="21"/>
          <w:highlight w:val="none"/>
        </w:rPr>
        <w:t>22.2.1</w:t>
      </w:r>
      <w:r>
        <w:rPr>
          <w:rFonts w:hint="eastAsia" w:ascii="宋体" w:hAnsi="宋体" w:cs="宋体"/>
          <w:szCs w:val="21"/>
          <w:highlight w:val="none"/>
        </w:rPr>
        <w:t>、</w:t>
      </w:r>
      <w:r>
        <w:rPr>
          <w:rFonts w:hint="eastAsia" w:ascii="宋体" w:hAnsi="宋体" w:cs="宋体"/>
          <w:color w:val="000000"/>
          <w:szCs w:val="21"/>
          <w:highlight w:val="none"/>
        </w:rPr>
        <w:t>未按规定格式提供、填写</w:t>
      </w:r>
      <w:r>
        <w:rPr>
          <w:rFonts w:hint="eastAsia" w:ascii="宋体" w:hAnsi="宋体" w:cs="宋体"/>
          <w:color w:val="000000"/>
          <w:highlight w:val="none"/>
        </w:rPr>
        <w:t>磋商响应函</w:t>
      </w:r>
      <w:r>
        <w:rPr>
          <w:rFonts w:hint="eastAsia" w:ascii="宋体" w:hAnsi="宋体" w:cs="宋体"/>
          <w:color w:val="000000"/>
          <w:szCs w:val="21"/>
          <w:highlight w:val="none"/>
        </w:rPr>
        <w:t>，或</w:t>
      </w:r>
      <w:r>
        <w:rPr>
          <w:rFonts w:hint="eastAsia" w:ascii="宋体" w:hAnsi="宋体" w:cs="宋体"/>
          <w:color w:val="000000"/>
          <w:highlight w:val="none"/>
        </w:rPr>
        <w:t>磋商响应函</w:t>
      </w:r>
      <w:r>
        <w:rPr>
          <w:rFonts w:hint="eastAsia" w:ascii="宋体" w:hAnsi="宋体" w:cs="宋体"/>
          <w:color w:val="000000"/>
          <w:szCs w:val="21"/>
          <w:highlight w:val="none"/>
        </w:rPr>
        <w:t>未按要求盖章的；</w:t>
      </w:r>
      <w:r>
        <w:rPr>
          <w:rFonts w:ascii="宋体" w:cs="宋体"/>
          <w:szCs w:val="21"/>
          <w:highlight w:val="none"/>
        </w:rPr>
        <w:t xml:space="preserve"> </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lang w:val="en-US" w:eastAsia="zh-CN"/>
        </w:rPr>
        <w:t>2</w:t>
      </w:r>
      <w:r>
        <w:rPr>
          <w:rFonts w:hint="eastAsia" w:ascii="宋体" w:hAnsi="宋体" w:cs="宋体"/>
          <w:szCs w:val="21"/>
          <w:highlight w:val="none"/>
        </w:rPr>
        <w:t>、磋商报价高于最高磋商限价的；</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lang w:val="en-US" w:eastAsia="zh-CN"/>
        </w:rPr>
        <w:t>3</w:t>
      </w:r>
      <w:r>
        <w:rPr>
          <w:rFonts w:hint="eastAsia" w:ascii="宋体" w:hAnsi="宋体" w:cs="宋体"/>
          <w:szCs w:val="21"/>
          <w:highlight w:val="none"/>
        </w:rPr>
        <w:t>、法律、法规及竞争性磋商文件约定的其它情形。</w:t>
      </w:r>
    </w:p>
    <w:p>
      <w:pPr>
        <w:widowControl/>
        <w:spacing w:line="500" w:lineRule="exact"/>
        <w:ind w:firstLine="420" w:firstLineChars="200"/>
        <w:jc w:val="left"/>
        <w:rPr>
          <w:rFonts w:ascii="宋体" w:hAnsi="宋体"/>
          <w:szCs w:val="21"/>
          <w:highlight w:val="none"/>
        </w:rPr>
      </w:pPr>
      <w:r>
        <w:rPr>
          <w:rFonts w:ascii="宋体" w:hAnsi="宋体" w:cs="宋体"/>
          <w:szCs w:val="21"/>
          <w:highlight w:val="none"/>
        </w:rPr>
        <w:t>22.3</w:t>
      </w:r>
      <w:r>
        <w:rPr>
          <w:rFonts w:hint="eastAsia" w:ascii="宋体" w:hAnsi="宋体" w:cs="宋体"/>
          <w:szCs w:val="21"/>
          <w:highlight w:val="none"/>
        </w:rPr>
        <w:t>、</w:t>
      </w:r>
      <w:r>
        <w:rPr>
          <w:rFonts w:hint="eastAsia" w:ascii="宋体" w:hAnsi="宋体"/>
          <w:szCs w:val="21"/>
          <w:highlight w:val="none"/>
        </w:rPr>
        <w:t>供应商存在下列情形之一，经磋商小组评审后，认定为响应无效：</w:t>
      </w:r>
    </w:p>
    <w:p>
      <w:pPr>
        <w:widowControl/>
        <w:spacing w:line="500" w:lineRule="exact"/>
        <w:jc w:val="left"/>
        <w:rPr>
          <w:rFonts w:ascii="宋体" w:hAnsi="宋体"/>
          <w:szCs w:val="21"/>
          <w:highlight w:val="none"/>
        </w:rPr>
      </w:pPr>
      <w:r>
        <w:rPr>
          <w:rFonts w:hint="eastAsia" w:ascii="宋体" w:hAnsi="宋体"/>
          <w:szCs w:val="21"/>
          <w:highlight w:val="none"/>
        </w:rPr>
        <w:t xml:space="preserve">    (1)</w:t>
      </w:r>
      <w:r>
        <w:rPr>
          <w:rFonts w:hAnsi="宋体"/>
          <w:szCs w:val="21"/>
          <w:highlight w:val="none"/>
        </w:rPr>
        <w:t>被责令停业</w:t>
      </w:r>
      <w:r>
        <w:rPr>
          <w:rFonts w:hint="eastAsia" w:hAnsi="宋体"/>
          <w:szCs w:val="21"/>
          <w:highlight w:val="none"/>
        </w:rPr>
        <w:t>且处于有效期内</w:t>
      </w:r>
      <w:r>
        <w:rPr>
          <w:rFonts w:hAnsi="宋体"/>
          <w:szCs w:val="21"/>
          <w:highlight w:val="none"/>
        </w:rPr>
        <w:t>的</w:t>
      </w:r>
      <w:r>
        <w:rPr>
          <w:rFonts w:hint="eastAsia" w:ascii="宋体" w:hAnsi="宋体"/>
          <w:szCs w:val="21"/>
          <w:highlight w:val="none"/>
        </w:rPr>
        <w:t>；</w:t>
      </w:r>
    </w:p>
    <w:p>
      <w:pPr>
        <w:widowControl/>
        <w:spacing w:line="500" w:lineRule="exact"/>
        <w:jc w:val="left"/>
        <w:rPr>
          <w:rFonts w:ascii="宋体" w:hAnsi="宋体"/>
          <w:szCs w:val="21"/>
          <w:highlight w:val="none"/>
        </w:rPr>
      </w:pPr>
      <w:r>
        <w:rPr>
          <w:rFonts w:hint="eastAsia" w:ascii="宋体" w:hAnsi="宋体"/>
          <w:szCs w:val="21"/>
          <w:highlight w:val="none"/>
        </w:rPr>
        <w:t xml:space="preserve">    (2)被安庆市行政区域内公共资源交易监管部门限制投标资格且处于有效期内；</w:t>
      </w:r>
    </w:p>
    <w:p>
      <w:pPr>
        <w:widowControl/>
        <w:spacing w:line="500" w:lineRule="exact"/>
        <w:jc w:val="left"/>
        <w:rPr>
          <w:rFonts w:ascii="宋体" w:hAnsi="宋体"/>
          <w:szCs w:val="21"/>
          <w:highlight w:val="none"/>
        </w:rPr>
      </w:pPr>
      <w:r>
        <w:rPr>
          <w:rFonts w:hint="eastAsia" w:ascii="宋体" w:hAnsi="宋体"/>
          <w:szCs w:val="21"/>
          <w:highlight w:val="none"/>
        </w:rPr>
        <w:t xml:space="preserve">    (3)财产被接管或冻结可能影响本项目正常实施的；</w:t>
      </w:r>
    </w:p>
    <w:p>
      <w:pPr>
        <w:spacing w:line="360" w:lineRule="auto"/>
        <w:ind w:firstLine="420" w:firstLineChars="200"/>
        <w:rPr>
          <w:rFonts w:ascii="宋体" w:hAnsi="宋体" w:cs="宋体"/>
          <w:szCs w:val="21"/>
          <w:highlight w:val="none"/>
        </w:rPr>
      </w:pPr>
      <w:r>
        <w:rPr>
          <w:rFonts w:hint="eastAsia" w:ascii="宋体" w:hAnsi="宋体"/>
          <w:szCs w:val="21"/>
          <w:highlight w:val="none"/>
        </w:rPr>
        <w:t>(4)法律、法规规定及磋商文件约定的其他情形</w:t>
      </w:r>
      <w:r>
        <w:rPr>
          <w:rFonts w:hint="eastAsia" w:ascii="宋体" w:hAnsi="宋体" w:cs="宋体"/>
          <w:szCs w:val="21"/>
          <w:highlight w:val="none"/>
        </w:rPr>
        <w:t>。</w:t>
      </w:r>
    </w:p>
    <w:p>
      <w:pPr>
        <w:widowControl/>
        <w:spacing w:line="500" w:lineRule="exact"/>
        <w:ind w:firstLine="420"/>
        <w:jc w:val="left"/>
        <w:rPr>
          <w:rFonts w:ascii="宋体" w:cs="宋体"/>
          <w:szCs w:val="21"/>
          <w:highlight w:val="none"/>
        </w:rPr>
      </w:pPr>
      <w:r>
        <w:rPr>
          <w:rFonts w:ascii="宋体" w:hAnsi="宋体"/>
          <w:szCs w:val="21"/>
          <w:highlight w:val="none"/>
        </w:rPr>
        <w:t>22.4 各级人民政府财政部门依法对参加政府采购活动的供应商作出的禁止参加政府采购活动等行政处罚决定在全国范围内生效。</w:t>
      </w:r>
      <w:r>
        <w:rPr>
          <w:rFonts w:hint="eastAsia" w:ascii="宋体" w:hAnsi="宋体"/>
          <w:szCs w:val="21"/>
          <w:highlight w:val="none"/>
        </w:rPr>
        <w:t>供应商受到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，其响应无效。</w:t>
      </w:r>
    </w:p>
    <w:p>
      <w:pPr>
        <w:pStyle w:val="5"/>
        <w:ind w:firstLine="413" w:firstLineChars="196"/>
        <w:rPr>
          <w:rFonts w:cs="宋体"/>
          <w:highlight w:val="none"/>
        </w:rPr>
      </w:pPr>
      <w:bookmarkStart w:id="82" w:name="_Toc476584426"/>
      <w:bookmarkStart w:id="83" w:name="_Toc54941337"/>
      <w:r>
        <w:rPr>
          <w:rFonts w:hint="eastAsia" w:cs="宋体"/>
          <w:highlight w:val="none"/>
        </w:rPr>
        <w:t>六、评标</w:t>
      </w:r>
      <w:bookmarkEnd w:id="82"/>
      <w:bookmarkEnd w:id="83"/>
    </w:p>
    <w:p>
      <w:pPr>
        <w:spacing w:line="360" w:lineRule="auto"/>
        <w:ind w:firstLine="422" w:firstLineChars="200"/>
        <w:rPr>
          <w:rFonts w:ascii="宋体" w:cs="宋体"/>
          <w:szCs w:val="21"/>
          <w:highlight w:val="none"/>
        </w:rPr>
      </w:pPr>
      <w:r>
        <w:rPr>
          <w:rFonts w:ascii="宋体" w:hAnsi="宋体" w:cs="宋体"/>
          <w:b/>
          <w:szCs w:val="21"/>
          <w:highlight w:val="none"/>
        </w:rPr>
        <w:t>23</w:t>
      </w:r>
      <w:r>
        <w:rPr>
          <w:rFonts w:hint="eastAsia" w:ascii="宋体" w:hAnsi="宋体" w:cs="宋体"/>
          <w:b/>
          <w:szCs w:val="21"/>
          <w:highlight w:val="none"/>
        </w:rPr>
        <w:t>、磋商小组</w:t>
      </w:r>
      <w:r>
        <w:rPr>
          <w:rFonts w:hint="eastAsia" w:ascii="宋体" w:hAnsi="宋体" w:cs="宋体"/>
          <w:szCs w:val="21"/>
          <w:highlight w:val="none"/>
        </w:rPr>
        <w:t>：磋商</w:t>
      </w:r>
      <w:r>
        <w:rPr>
          <w:rFonts w:hint="eastAsia" w:ascii="宋体" w:hAnsi="宋体"/>
          <w:szCs w:val="21"/>
          <w:highlight w:val="none"/>
        </w:rPr>
        <w:t>小组依法组建，其中采购人代表</w:t>
      </w:r>
      <w:r>
        <w:rPr>
          <w:rFonts w:ascii="宋体" w:hAnsi="宋体"/>
          <w:szCs w:val="21"/>
          <w:highlight w:val="none"/>
          <w:u w:val="single"/>
        </w:rPr>
        <w:t>1</w:t>
      </w:r>
      <w:r>
        <w:rPr>
          <w:rFonts w:hint="eastAsia" w:ascii="宋体" w:hAnsi="宋体"/>
          <w:szCs w:val="21"/>
          <w:highlight w:val="none"/>
        </w:rPr>
        <w:t>人。</w:t>
      </w:r>
      <w:r>
        <w:rPr>
          <w:rFonts w:hint="eastAsia" w:ascii="宋体" w:hAnsi="宋体" w:cs="宋体"/>
          <w:szCs w:val="21"/>
          <w:highlight w:val="none"/>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highlight w:val="none"/>
        </w:rPr>
      </w:pPr>
      <w:r>
        <w:rPr>
          <w:rFonts w:ascii="宋体" w:hAnsi="宋体" w:cs="宋体"/>
          <w:b/>
          <w:szCs w:val="21"/>
          <w:highlight w:val="none"/>
        </w:rPr>
        <w:t>24</w:t>
      </w:r>
      <w:r>
        <w:rPr>
          <w:rFonts w:hint="eastAsia" w:ascii="宋体" w:hAnsi="宋体" w:cs="宋体"/>
          <w:b/>
          <w:szCs w:val="21"/>
          <w:highlight w:val="none"/>
        </w:rPr>
        <w:t>、评标方法：</w:t>
      </w:r>
      <w:r>
        <w:rPr>
          <w:rFonts w:hint="eastAsia" w:ascii="宋体" w:hAnsi="宋体" w:cs="宋体"/>
          <w:szCs w:val="21"/>
          <w:highlight w:val="none"/>
        </w:rPr>
        <w:t>采用综合评分方法。</w:t>
      </w:r>
    </w:p>
    <w:p>
      <w:pPr>
        <w:spacing w:line="360" w:lineRule="auto"/>
        <w:ind w:firstLine="440"/>
        <w:jc w:val="left"/>
        <w:rPr>
          <w:rFonts w:ascii="宋体" w:cs="宋体"/>
          <w:b/>
          <w:szCs w:val="21"/>
          <w:highlight w:val="none"/>
        </w:rPr>
      </w:pPr>
      <w:r>
        <w:rPr>
          <w:rFonts w:ascii="宋体" w:hAnsi="宋体" w:cs="宋体"/>
          <w:b/>
          <w:szCs w:val="21"/>
          <w:highlight w:val="none"/>
        </w:rPr>
        <w:t>25</w:t>
      </w:r>
      <w:r>
        <w:rPr>
          <w:rFonts w:hint="eastAsia" w:ascii="宋体" w:hAnsi="宋体" w:cs="宋体"/>
          <w:b/>
          <w:szCs w:val="21"/>
          <w:highlight w:val="none"/>
        </w:rPr>
        <w:t>、评标程序：</w:t>
      </w:r>
      <w:r>
        <w:rPr>
          <w:rFonts w:hint="eastAsia" w:ascii="宋体" w:hAnsi="宋体" w:cs="宋体"/>
          <w:szCs w:val="21"/>
          <w:highlight w:val="none"/>
        </w:rPr>
        <w:t>评标包括响应文件符合性审查、磋商、最后报价、综合评分和确定成交候选人排序。</w:t>
      </w:r>
    </w:p>
    <w:p>
      <w:pPr>
        <w:spacing w:line="360" w:lineRule="auto"/>
        <w:rPr>
          <w:rFonts w:ascii="宋体" w:cs="宋体"/>
          <w:szCs w:val="21"/>
          <w:highlight w:val="none"/>
        </w:rPr>
      </w:pPr>
      <w:r>
        <w:rPr>
          <w:rFonts w:ascii="宋体" w:hAnsi="宋体" w:cs="宋体"/>
          <w:szCs w:val="21"/>
          <w:highlight w:val="none"/>
        </w:rPr>
        <w:t xml:space="preserve">    </w:t>
      </w:r>
      <w:r>
        <w:rPr>
          <w:rFonts w:ascii="宋体" w:hAnsi="宋体" w:cs="宋体"/>
          <w:b/>
          <w:bCs/>
          <w:szCs w:val="21"/>
          <w:highlight w:val="none"/>
        </w:rPr>
        <w:t>25.1</w:t>
      </w:r>
      <w:r>
        <w:rPr>
          <w:rFonts w:hint="eastAsia" w:ascii="宋体" w:hAnsi="宋体" w:cs="宋体"/>
          <w:b/>
          <w:bCs/>
          <w:szCs w:val="21"/>
          <w:highlight w:val="none"/>
        </w:rPr>
        <w:t>、响应文件</w:t>
      </w:r>
      <w:r>
        <w:rPr>
          <w:rFonts w:hint="eastAsia" w:ascii="宋体" w:hAnsi="宋体" w:cs="宋体"/>
          <w:b/>
          <w:bCs/>
          <w:highlight w:val="none"/>
        </w:rPr>
        <w:t>符合性审查</w:t>
      </w:r>
      <w:r>
        <w:rPr>
          <w:rFonts w:hint="eastAsia" w:ascii="宋体" w:hAnsi="宋体" w:cs="宋体"/>
          <w:b/>
          <w:bCs/>
          <w:szCs w:val="21"/>
          <w:highlight w:val="none"/>
        </w:rPr>
        <w:t>，包括但不限于以下内容：</w:t>
      </w:r>
    </w:p>
    <w:tbl>
      <w:tblPr>
        <w:tblStyle w:val="6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47"/>
        <w:gridCol w:w="4462"/>
        <w:gridCol w:w="1115"/>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06" w:type="dxa"/>
            <w:vMerge w:val="restart"/>
            <w:noWrap w:val="0"/>
            <w:vAlign w:val="center"/>
          </w:tcPr>
          <w:p>
            <w:pPr>
              <w:pageBreakBefore w:val="0"/>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序号</w:t>
            </w:r>
          </w:p>
        </w:tc>
        <w:tc>
          <w:tcPr>
            <w:tcW w:w="1847" w:type="dxa"/>
            <w:vMerge w:val="restart"/>
            <w:noWrap w:val="0"/>
            <w:vAlign w:val="center"/>
          </w:tcPr>
          <w:p>
            <w:pPr>
              <w:pageBreakBefore w:val="0"/>
              <w:kinsoku/>
              <w:wordWrap/>
              <w:overflowPunct/>
              <w:topLinePunct w:val="0"/>
              <w:autoSpaceDE/>
              <w:autoSpaceDN/>
              <w:bidi w:val="0"/>
              <w:spacing w:line="400" w:lineRule="exact"/>
              <w:jc w:val="center"/>
              <w:textAlignment w:val="auto"/>
              <w:rPr>
                <w:rFonts w:hint="eastAsia"/>
                <w:b/>
                <w:color w:val="auto"/>
                <w:szCs w:val="21"/>
                <w:highlight w:val="none"/>
              </w:rPr>
            </w:pPr>
            <w:r>
              <w:rPr>
                <w:rFonts w:hint="eastAsia"/>
                <w:b/>
                <w:color w:val="auto"/>
                <w:szCs w:val="21"/>
                <w:highlight w:val="none"/>
              </w:rPr>
              <w:t>评审指标</w:t>
            </w:r>
          </w:p>
        </w:tc>
        <w:tc>
          <w:tcPr>
            <w:tcW w:w="4462" w:type="dxa"/>
            <w:vMerge w:val="restart"/>
            <w:noWrap w:val="0"/>
            <w:vAlign w:val="center"/>
          </w:tcPr>
          <w:p>
            <w:pPr>
              <w:pageBreakBefore w:val="0"/>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评</w:t>
            </w:r>
            <w:r>
              <w:rPr>
                <w:b/>
                <w:color w:val="auto"/>
                <w:szCs w:val="21"/>
                <w:highlight w:val="none"/>
              </w:rPr>
              <w:t xml:space="preserve"> </w:t>
            </w:r>
            <w:r>
              <w:rPr>
                <w:rFonts w:hAnsi="宋体"/>
                <w:b/>
                <w:color w:val="auto"/>
                <w:szCs w:val="21"/>
                <w:highlight w:val="none"/>
              </w:rPr>
              <w:t>审</w:t>
            </w:r>
            <w:r>
              <w:rPr>
                <w:b/>
                <w:color w:val="auto"/>
                <w:szCs w:val="21"/>
                <w:highlight w:val="none"/>
              </w:rPr>
              <w:t xml:space="preserve"> </w:t>
            </w:r>
            <w:r>
              <w:rPr>
                <w:rFonts w:hAnsi="宋体"/>
                <w:b/>
                <w:color w:val="auto"/>
                <w:szCs w:val="21"/>
                <w:highlight w:val="none"/>
              </w:rPr>
              <w:t>内</w:t>
            </w:r>
            <w:r>
              <w:rPr>
                <w:b/>
                <w:color w:val="auto"/>
                <w:szCs w:val="21"/>
                <w:highlight w:val="none"/>
              </w:rPr>
              <w:t xml:space="preserve"> </w:t>
            </w:r>
            <w:r>
              <w:rPr>
                <w:rFonts w:hAnsi="宋体"/>
                <w:b/>
                <w:color w:val="auto"/>
                <w:szCs w:val="21"/>
                <w:highlight w:val="none"/>
              </w:rPr>
              <w:t>容</w:t>
            </w:r>
            <w:r>
              <w:rPr>
                <w:b/>
                <w:color w:val="auto"/>
                <w:szCs w:val="21"/>
                <w:highlight w:val="none"/>
              </w:rPr>
              <w:t xml:space="preserve"> </w:t>
            </w:r>
            <w:r>
              <w:rPr>
                <w:rFonts w:hAnsi="宋体"/>
                <w:b/>
                <w:color w:val="auto"/>
                <w:szCs w:val="21"/>
                <w:highlight w:val="none"/>
              </w:rPr>
              <w:t>及</w:t>
            </w:r>
            <w:r>
              <w:rPr>
                <w:b/>
                <w:color w:val="auto"/>
                <w:szCs w:val="21"/>
                <w:highlight w:val="none"/>
              </w:rPr>
              <w:t xml:space="preserve"> </w:t>
            </w:r>
            <w:r>
              <w:rPr>
                <w:rFonts w:hAnsi="宋体"/>
                <w:b/>
                <w:color w:val="auto"/>
                <w:szCs w:val="21"/>
                <w:highlight w:val="none"/>
              </w:rPr>
              <w:t>要</w:t>
            </w:r>
            <w:r>
              <w:rPr>
                <w:b/>
                <w:color w:val="auto"/>
                <w:szCs w:val="21"/>
                <w:highlight w:val="none"/>
              </w:rPr>
              <w:t xml:space="preserve"> </w:t>
            </w:r>
            <w:r>
              <w:rPr>
                <w:rFonts w:hAnsi="宋体"/>
                <w:b/>
                <w:color w:val="auto"/>
                <w:szCs w:val="21"/>
                <w:highlight w:val="none"/>
              </w:rPr>
              <w:t>求</w:t>
            </w:r>
          </w:p>
        </w:tc>
        <w:tc>
          <w:tcPr>
            <w:tcW w:w="2185" w:type="dxa"/>
            <w:gridSpan w:val="2"/>
            <w:noWrap w:val="0"/>
            <w:vAlign w:val="center"/>
          </w:tcPr>
          <w:p>
            <w:pPr>
              <w:pageBreakBefore w:val="0"/>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706" w:type="dxa"/>
            <w:vMerge w:val="continue"/>
            <w:noWrap w:val="0"/>
            <w:vAlign w:val="center"/>
          </w:tcPr>
          <w:p>
            <w:pPr>
              <w:pageBreakBefore w:val="0"/>
              <w:kinsoku/>
              <w:wordWrap/>
              <w:overflowPunct/>
              <w:topLinePunct w:val="0"/>
              <w:autoSpaceDE/>
              <w:autoSpaceDN/>
              <w:bidi w:val="0"/>
              <w:spacing w:line="400" w:lineRule="exact"/>
              <w:jc w:val="center"/>
              <w:textAlignment w:val="auto"/>
              <w:rPr>
                <w:b/>
                <w:color w:val="auto"/>
                <w:szCs w:val="21"/>
                <w:highlight w:val="none"/>
              </w:rPr>
            </w:pPr>
          </w:p>
        </w:tc>
        <w:tc>
          <w:tcPr>
            <w:tcW w:w="1847" w:type="dxa"/>
            <w:vMerge w:val="continue"/>
            <w:noWrap w:val="0"/>
            <w:vAlign w:val="center"/>
          </w:tcPr>
          <w:p>
            <w:pPr>
              <w:pageBreakBefore w:val="0"/>
              <w:kinsoku/>
              <w:wordWrap/>
              <w:overflowPunct/>
              <w:topLinePunct w:val="0"/>
              <w:autoSpaceDE/>
              <w:autoSpaceDN/>
              <w:bidi w:val="0"/>
              <w:spacing w:line="400" w:lineRule="exact"/>
              <w:jc w:val="center"/>
              <w:textAlignment w:val="auto"/>
              <w:rPr>
                <w:b/>
                <w:color w:val="auto"/>
                <w:szCs w:val="21"/>
                <w:highlight w:val="none"/>
              </w:rPr>
            </w:pPr>
          </w:p>
        </w:tc>
        <w:tc>
          <w:tcPr>
            <w:tcW w:w="4462" w:type="dxa"/>
            <w:vMerge w:val="continue"/>
            <w:noWrap w:val="0"/>
            <w:vAlign w:val="center"/>
          </w:tcPr>
          <w:p>
            <w:pPr>
              <w:pageBreakBefore w:val="0"/>
              <w:kinsoku/>
              <w:wordWrap/>
              <w:overflowPunct/>
              <w:topLinePunct w:val="0"/>
              <w:autoSpaceDE/>
              <w:autoSpaceDN/>
              <w:bidi w:val="0"/>
              <w:spacing w:line="400" w:lineRule="exact"/>
              <w:jc w:val="center"/>
              <w:textAlignment w:val="auto"/>
              <w:rPr>
                <w:b/>
                <w:color w:val="auto"/>
                <w:szCs w:val="21"/>
                <w:highlight w:val="none"/>
              </w:rPr>
            </w:pPr>
          </w:p>
        </w:tc>
        <w:tc>
          <w:tcPr>
            <w:tcW w:w="1115" w:type="dxa"/>
            <w:noWrap w:val="0"/>
            <w:vAlign w:val="center"/>
          </w:tcPr>
          <w:p>
            <w:pPr>
              <w:pageBreakBefore w:val="0"/>
              <w:tabs>
                <w:tab w:val="left" w:pos="972"/>
              </w:tabs>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通过</w:t>
            </w:r>
          </w:p>
          <w:p>
            <w:pPr>
              <w:pageBreakBefore w:val="0"/>
              <w:tabs>
                <w:tab w:val="left" w:pos="972"/>
              </w:tabs>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w:t>
            </w:r>
            <w:r>
              <w:rPr>
                <w:b/>
                <w:color w:val="auto"/>
                <w:szCs w:val="21"/>
                <w:highlight w:val="none"/>
              </w:rPr>
              <w:t>√</w:t>
            </w:r>
            <w:r>
              <w:rPr>
                <w:rFonts w:hAnsi="宋体"/>
                <w:b/>
                <w:color w:val="auto"/>
                <w:szCs w:val="21"/>
                <w:highlight w:val="none"/>
              </w:rPr>
              <w:t>）</w:t>
            </w:r>
          </w:p>
        </w:tc>
        <w:tc>
          <w:tcPr>
            <w:tcW w:w="1070" w:type="dxa"/>
            <w:noWrap w:val="0"/>
            <w:vAlign w:val="center"/>
          </w:tcPr>
          <w:p>
            <w:pPr>
              <w:pageBreakBefore w:val="0"/>
              <w:tabs>
                <w:tab w:val="left" w:pos="972"/>
              </w:tabs>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不通过</w:t>
            </w:r>
          </w:p>
          <w:p>
            <w:pPr>
              <w:pageBreakBefore w:val="0"/>
              <w:tabs>
                <w:tab w:val="left" w:pos="972"/>
              </w:tabs>
              <w:kinsoku/>
              <w:wordWrap/>
              <w:overflowPunct/>
              <w:topLinePunct w:val="0"/>
              <w:autoSpaceDE/>
              <w:autoSpaceDN/>
              <w:bidi w:val="0"/>
              <w:spacing w:line="400" w:lineRule="exact"/>
              <w:jc w:val="center"/>
              <w:textAlignment w:val="auto"/>
              <w:rPr>
                <w:b/>
                <w:color w:val="auto"/>
                <w:szCs w:val="21"/>
                <w:highlight w:val="none"/>
              </w:rPr>
            </w:pPr>
            <w:r>
              <w:rPr>
                <w:rFonts w:hAnsi="宋体"/>
                <w:b/>
                <w:color w:val="auto"/>
                <w:szCs w:val="21"/>
                <w:highlight w:val="none"/>
              </w:rPr>
              <w:t>（</w:t>
            </w:r>
            <w:r>
              <w:rPr>
                <w:b/>
                <w:color w:val="auto"/>
                <w:szCs w:val="21"/>
                <w:highlight w:val="none"/>
              </w:rPr>
              <w:t>×</w:t>
            </w:r>
            <w:r>
              <w:rPr>
                <w:rFonts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706"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p>
        </w:tc>
        <w:tc>
          <w:tcPr>
            <w:tcW w:w="4462" w:type="dxa"/>
            <w:noWrap w:val="0"/>
            <w:vAlign w:val="center"/>
          </w:tcPr>
          <w:p>
            <w:pPr>
              <w:pageBreakBefore w:val="0"/>
              <w:kinsoku/>
              <w:wordWrap/>
              <w:overflowPunct/>
              <w:topLinePunct w:val="0"/>
              <w:autoSpaceDE/>
              <w:autoSpaceDN/>
              <w:bidi w:val="0"/>
              <w:adjustRightInd w:val="0"/>
              <w:snapToGrid w:val="0"/>
              <w:spacing w:line="400" w:lineRule="exact"/>
              <w:ind w:right="-11"/>
              <w:textAlignment w:val="auto"/>
              <w:rPr>
                <w:rFonts w:hint="default" w:ascii="宋体" w:hAnsi="宋体" w:eastAsia="宋体"/>
                <w:color w:val="auto"/>
                <w:szCs w:val="21"/>
                <w:highlight w:val="none"/>
                <w:lang w:val="en-US" w:eastAsia="zh-CN"/>
              </w:rPr>
            </w:pPr>
            <w:r>
              <w:rPr>
                <w:rFonts w:ascii="宋体" w:hAnsi="宋体"/>
                <w:color w:val="auto"/>
                <w:szCs w:val="21"/>
                <w:highlight w:val="none"/>
              </w:rPr>
              <w:t>是否与营业执照、资质证书、安全生产许可证一致</w:t>
            </w:r>
          </w:p>
        </w:tc>
        <w:tc>
          <w:tcPr>
            <w:tcW w:w="1115" w:type="dxa"/>
            <w:noWrap w:val="0"/>
            <w:vAlign w:val="top"/>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706"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声明函</w:t>
            </w:r>
          </w:p>
        </w:tc>
        <w:tc>
          <w:tcPr>
            <w:tcW w:w="4462" w:type="dxa"/>
            <w:noWrap w:val="0"/>
            <w:vAlign w:val="center"/>
          </w:tcPr>
          <w:p>
            <w:pPr>
              <w:pageBreakBefore w:val="0"/>
              <w:kinsoku/>
              <w:wordWrap/>
              <w:overflowPunct/>
              <w:topLinePunct w:val="0"/>
              <w:autoSpaceDE/>
              <w:autoSpaceDN/>
              <w:bidi w:val="0"/>
              <w:adjustRightInd w:val="0"/>
              <w:snapToGrid w:val="0"/>
              <w:spacing w:line="400" w:lineRule="exact"/>
              <w:ind w:right="-11"/>
              <w:textAlignment w:val="auto"/>
              <w:rPr>
                <w:rFonts w:ascii="宋体" w:hAnsi="宋体"/>
                <w:color w:val="auto"/>
                <w:szCs w:val="21"/>
                <w:highlight w:val="none"/>
              </w:rPr>
            </w:pPr>
            <w:r>
              <w:rPr>
                <w:rFonts w:hint="eastAsia" w:ascii="宋体" w:hAnsi="宋体"/>
                <w:color w:val="auto"/>
                <w:szCs w:val="21"/>
                <w:highlight w:val="none"/>
              </w:rPr>
              <w:t>供应商声明函符合规定格式</w:t>
            </w:r>
          </w:p>
        </w:tc>
        <w:tc>
          <w:tcPr>
            <w:tcW w:w="1115" w:type="dxa"/>
            <w:noWrap w:val="0"/>
            <w:vAlign w:val="top"/>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noWrap w:val="0"/>
            <w:vAlign w:val="center"/>
          </w:tcPr>
          <w:p>
            <w:pPr>
              <w:pageBreakBefore w:val="0"/>
              <w:kinsoku/>
              <w:wordWrap/>
              <w:overflowPunct/>
              <w:topLinePunct w:val="0"/>
              <w:autoSpaceDE/>
              <w:autoSpaceDN/>
              <w:bidi w:val="0"/>
              <w:adjustRightInd w:val="0"/>
              <w:snapToGrid w:val="0"/>
              <w:spacing w:line="400" w:lineRule="exact"/>
              <w:ind w:right="-11" w:rightChars="0"/>
              <w:jc w:val="center"/>
              <w:textAlignment w:val="auto"/>
              <w:rPr>
                <w:rFonts w:ascii="宋体" w:hAnsi="宋体"/>
                <w:color w:val="auto"/>
                <w:szCs w:val="21"/>
                <w:highlight w:val="none"/>
              </w:rPr>
            </w:pPr>
            <w:r>
              <w:rPr>
                <w:rFonts w:hint="eastAsia" w:ascii="宋体" w:hAnsi="宋体"/>
                <w:color w:val="auto"/>
                <w:szCs w:val="21"/>
                <w:highlight w:val="none"/>
              </w:rPr>
              <w:t>3</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ascii="宋体" w:hAnsi="宋体"/>
                <w:color w:val="auto"/>
                <w:szCs w:val="21"/>
                <w:highlight w:val="none"/>
              </w:rPr>
            </w:pPr>
            <w:r>
              <w:rPr>
                <w:rFonts w:ascii="宋体" w:hAnsi="宋体"/>
                <w:color w:val="auto"/>
                <w:szCs w:val="21"/>
                <w:highlight w:val="none"/>
              </w:rPr>
              <w:t>营业执照</w:t>
            </w:r>
          </w:p>
        </w:tc>
        <w:tc>
          <w:tcPr>
            <w:tcW w:w="4462" w:type="dxa"/>
            <w:noWrap w:val="0"/>
            <w:vAlign w:val="center"/>
          </w:tcPr>
          <w:p>
            <w:pPr>
              <w:pageBreakBefore w:val="0"/>
              <w:kinsoku/>
              <w:wordWrap/>
              <w:overflowPunct/>
              <w:topLinePunct w:val="0"/>
              <w:autoSpaceDE/>
              <w:autoSpaceDN/>
              <w:bidi w:val="0"/>
              <w:adjustRightInd w:val="0"/>
              <w:snapToGrid w:val="0"/>
              <w:spacing w:line="400" w:lineRule="exact"/>
              <w:ind w:right="-11"/>
              <w:textAlignment w:val="auto"/>
              <w:rPr>
                <w:rFonts w:ascii="宋体" w:hAnsi="宋体"/>
                <w:color w:val="auto"/>
                <w:szCs w:val="21"/>
                <w:highlight w:val="none"/>
              </w:rPr>
            </w:pPr>
            <w:r>
              <w:rPr>
                <w:rFonts w:ascii="宋体" w:hAnsi="宋体"/>
                <w:color w:val="auto"/>
                <w:szCs w:val="21"/>
                <w:highlight w:val="none"/>
              </w:rPr>
              <w:t>是否具备有效的营业执照</w:t>
            </w:r>
          </w:p>
        </w:tc>
        <w:tc>
          <w:tcPr>
            <w:tcW w:w="1115" w:type="dxa"/>
            <w:noWrap w:val="0"/>
            <w:vAlign w:val="top"/>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noWrap w:val="0"/>
            <w:vAlign w:val="center"/>
          </w:tcPr>
          <w:p>
            <w:pPr>
              <w:pageBreakBefore w:val="0"/>
              <w:kinsoku/>
              <w:wordWrap/>
              <w:overflowPunct/>
              <w:topLinePunct w:val="0"/>
              <w:autoSpaceDE/>
              <w:autoSpaceDN/>
              <w:bidi w:val="0"/>
              <w:adjustRightInd w:val="0"/>
              <w:snapToGrid w:val="0"/>
              <w:spacing w:line="400" w:lineRule="exact"/>
              <w:ind w:right="-11" w:rightChars="0"/>
              <w:jc w:val="center"/>
              <w:textAlignment w:val="auto"/>
              <w:rPr>
                <w:rFonts w:ascii="宋体" w:hAnsi="宋体"/>
                <w:color w:val="auto"/>
                <w:szCs w:val="21"/>
                <w:highlight w:val="none"/>
              </w:rPr>
            </w:pPr>
            <w:r>
              <w:rPr>
                <w:rFonts w:hint="eastAsia" w:ascii="宋体" w:hAnsi="宋体"/>
                <w:color w:val="auto"/>
                <w:szCs w:val="21"/>
                <w:highlight w:val="none"/>
              </w:rPr>
              <w:t>4</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ascii="宋体" w:hAnsi="宋体"/>
                <w:color w:val="auto"/>
                <w:szCs w:val="21"/>
                <w:highlight w:val="none"/>
              </w:rPr>
            </w:pPr>
            <w:r>
              <w:rPr>
                <w:rFonts w:ascii="宋体" w:hAnsi="宋体"/>
                <w:color w:val="auto"/>
                <w:szCs w:val="21"/>
                <w:highlight w:val="none"/>
              </w:rPr>
              <w:t>安全生产许可证</w:t>
            </w:r>
          </w:p>
        </w:tc>
        <w:tc>
          <w:tcPr>
            <w:tcW w:w="4462" w:type="dxa"/>
            <w:noWrap w:val="0"/>
            <w:vAlign w:val="center"/>
          </w:tcPr>
          <w:p>
            <w:pPr>
              <w:pageBreakBefore w:val="0"/>
              <w:kinsoku/>
              <w:wordWrap/>
              <w:overflowPunct/>
              <w:topLinePunct w:val="0"/>
              <w:autoSpaceDE/>
              <w:autoSpaceDN/>
              <w:bidi w:val="0"/>
              <w:adjustRightInd w:val="0"/>
              <w:snapToGrid w:val="0"/>
              <w:spacing w:line="400" w:lineRule="exact"/>
              <w:ind w:right="-11"/>
              <w:textAlignment w:val="auto"/>
              <w:rPr>
                <w:rFonts w:ascii="宋体" w:hAnsi="宋体"/>
                <w:color w:val="auto"/>
                <w:szCs w:val="21"/>
                <w:highlight w:val="none"/>
              </w:rPr>
            </w:pPr>
            <w:r>
              <w:rPr>
                <w:rFonts w:ascii="宋体" w:hAnsi="宋体"/>
                <w:color w:val="auto"/>
                <w:szCs w:val="21"/>
                <w:highlight w:val="none"/>
              </w:rPr>
              <w:t>是否具备有效的生产许可证</w:t>
            </w:r>
          </w:p>
        </w:tc>
        <w:tc>
          <w:tcPr>
            <w:tcW w:w="1115" w:type="dxa"/>
            <w:noWrap w:val="0"/>
            <w:vAlign w:val="top"/>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noWrap w:val="0"/>
            <w:vAlign w:val="center"/>
          </w:tcPr>
          <w:p>
            <w:pPr>
              <w:pageBreakBefore w:val="0"/>
              <w:kinsoku/>
              <w:wordWrap/>
              <w:overflowPunct/>
              <w:topLinePunct w:val="0"/>
              <w:autoSpaceDE/>
              <w:autoSpaceDN/>
              <w:bidi w:val="0"/>
              <w:adjustRightInd w:val="0"/>
              <w:snapToGrid w:val="0"/>
              <w:spacing w:line="400" w:lineRule="exact"/>
              <w:ind w:right="-11" w:rightChars="0"/>
              <w:jc w:val="center"/>
              <w:textAlignment w:val="auto"/>
              <w:rPr>
                <w:rFonts w:ascii="宋体" w:hAnsi="宋体"/>
                <w:color w:val="auto"/>
                <w:szCs w:val="21"/>
                <w:highlight w:val="none"/>
              </w:rPr>
            </w:pPr>
            <w:r>
              <w:rPr>
                <w:rFonts w:hint="eastAsia" w:ascii="宋体" w:hAnsi="宋体"/>
                <w:color w:val="auto"/>
                <w:szCs w:val="21"/>
                <w:highlight w:val="none"/>
              </w:rPr>
              <w:t>5</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资格</w:t>
            </w:r>
            <w:r>
              <w:rPr>
                <w:rFonts w:ascii="宋体" w:hAnsi="宋体"/>
                <w:color w:val="auto"/>
                <w:szCs w:val="21"/>
                <w:highlight w:val="none"/>
              </w:rPr>
              <w:t>条件</w:t>
            </w:r>
          </w:p>
        </w:tc>
        <w:tc>
          <w:tcPr>
            <w:tcW w:w="4462" w:type="dxa"/>
            <w:noWrap w:val="0"/>
            <w:vAlign w:val="center"/>
          </w:tcPr>
          <w:p>
            <w:pPr>
              <w:pageBreakBefore w:val="0"/>
              <w:kinsoku/>
              <w:wordWrap/>
              <w:overflowPunct/>
              <w:topLinePunct w:val="0"/>
              <w:autoSpaceDE/>
              <w:autoSpaceDN/>
              <w:bidi w:val="0"/>
              <w:adjustRightInd w:val="0"/>
              <w:snapToGrid w:val="0"/>
              <w:spacing w:line="400" w:lineRule="exact"/>
              <w:ind w:right="-11"/>
              <w:textAlignment w:val="auto"/>
              <w:rPr>
                <w:rFonts w:ascii="宋体" w:hAnsi="宋体"/>
                <w:color w:val="auto"/>
                <w:szCs w:val="21"/>
                <w:highlight w:val="none"/>
              </w:rPr>
            </w:pPr>
            <w:r>
              <w:rPr>
                <w:rFonts w:ascii="宋体" w:hAnsi="宋体"/>
                <w:color w:val="auto"/>
                <w:szCs w:val="21"/>
                <w:highlight w:val="none"/>
              </w:rPr>
              <w:t>是否符合</w:t>
            </w:r>
            <w:r>
              <w:rPr>
                <w:rFonts w:hint="eastAsia" w:ascii="宋体" w:hAnsi="宋体"/>
                <w:color w:val="auto"/>
                <w:szCs w:val="21"/>
                <w:highlight w:val="none"/>
              </w:rPr>
              <w:t>“</w:t>
            </w:r>
            <w:r>
              <w:rPr>
                <w:rFonts w:hint="eastAsia" w:ascii="宋体" w:hAnsi="宋体"/>
                <w:color w:val="auto"/>
                <w:szCs w:val="21"/>
                <w:highlight w:val="none"/>
                <w:lang w:val="en-US" w:eastAsia="zh-CN"/>
              </w:rPr>
              <w:t>磋商</w:t>
            </w:r>
            <w:r>
              <w:rPr>
                <w:rFonts w:hint="eastAsia" w:ascii="宋体" w:hAnsi="宋体"/>
                <w:color w:val="auto"/>
                <w:szCs w:val="21"/>
                <w:highlight w:val="none"/>
              </w:rPr>
              <w:t>须知前附表”</w:t>
            </w:r>
            <w:r>
              <w:rPr>
                <w:rFonts w:ascii="宋体" w:hAnsi="宋体"/>
                <w:color w:val="auto"/>
                <w:szCs w:val="21"/>
                <w:highlight w:val="none"/>
              </w:rPr>
              <w:t>规定</w:t>
            </w:r>
          </w:p>
        </w:tc>
        <w:tc>
          <w:tcPr>
            <w:tcW w:w="1115" w:type="dxa"/>
            <w:noWrap w:val="0"/>
            <w:vAlign w:val="top"/>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6" w:type="dxa"/>
            <w:noWrap w:val="0"/>
            <w:vAlign w:val="center"/>
          </w:tcPr>
          <w:p>
            <w:pPr>
              <w:pageBreakBefore w:val="0"/>
              <w:kinsoku/>
              <w:wordWrap/>
              <w:overflowPunct/>
              <w:topLinePunct w:val="0"/>
              <w:autoSpaceDE/>
              <w:autoSpaceDN/>
              <w:bidi w:val="0"/>
              <w:adjustRightInd w:val="0"/>
              <w:snapToGrid w:val="0"/>
              <w:spacing w:line="400" w:lineRule="exact"/>
              <w:ind w:right="-11" w:rightChars="0"/>
              <w:jc w:val="center"/>
              <w:textAlignment w:val="auto"/>
              <w:rPr>
                <w:rFonts w:ascii="宋体" w:hAnsi="宋体"/>
                <w:color w:val="auto"/>
                <w:szCs w:val="21"/>
                <w:highlight w:val="none"/>
              </w:rPr>
            </w:pPr>
            <w:r>
              <w:rPr>
                <w:rFonts w:hint="eastAsia" w:ascii="宋体" w:hAnsi="宋体"/>
                <w:color w:val="auto"/>
                <w:szCs w:val="21"/>
                <w:highlight w:val="none"/>
                <w:lang w:val="en-US" w:eastAsia="zh-CN"/>
              </w:rPr>
              <w:t>6</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ascii="宋体" w:hAnsi="宋体"/>
                <w:color w:val="auto"/>
                <w:szCs w:val="21"/>
                <w:highlight w:val="none"/>
              </w:rPr>
            </w:pPr>
            <w:r>
              <w:rPr>
                <w:rFonts w:ascii="宋体" w:hAnsi="宋体"/>
                <w:color w:val="auto"/>
                <w:szCs w:val="21"/>
                <w:highlight w:val="none"/>
              </w:rPr>
              <w:t>项目经理资格</w:t>
            </w:r>
          </w:p>
        </w:tc>
        <w:tc>
          <w:tcPr>
            <w:tcW w:w="4462" w:type="dxa"/>
            <w:noWrap w:val="0"/>
            <w:vAlign w:val="center"/>
          </w:tcPr>
          <w:p>
            <w:pPr>
              <w:pageBreakBefore w:val="0"/>
              <w:kinsoku/>
              <w:wordWrap/>
              <w:overflowPunct/>
              <w:topLinePunct w:val="0"/>
              <w:autoSpaceDE/>
              <w:autoSpaceDN/>
              <w:bidi w:val="0"/>
              <w:adjustRightInd w:val="0"/>
              <w:snapToGrid w:val="0"/>
              <w:spacing w:line="400" w:lineRule="exact"/>
              <w:ind w:right="-11"/>
              <w:textAlignment w:val="auto"/>
              <w:rPr>
                <w:rFonts w:ascii="宋体" w:hAnsi="宋体"/>
                <w:color w:val="auto"/>
                <w:szCs w:val="21"/>
                <w:highlight w:val="none"/>
              </w:rPr>
            </w:pPr>
            <w:r>
              <w:rPr>
                <w:rFonts w:ascii="宋体" w:hAnsi="宋体"/>
                <w:color w:val="auto"/>
                <w:szCs w:val="21"/>
                <w:highlight w:val="none"/>
              </w:rPr>
              <w:t>是否符合</w:t>
            </w:r>
            <w:r>
              <w:rPr>
                <w:rFonts w:hint="eastAsia" w:ascii="宋体" w:hAnsi="宋体"/>
                <w:color w:val="auto"/>
                <w:szCs w:val="21"/>
                <w:highlight w:val="none"/>
              </w:rPr>
              <w:t>“</w:t>
            </w:r>
            <w:r>
              <w:rPr>
                <w:rFonts w:hint="eastAsia" w:ascii="宋体" w:hAnsi="宋体"/>
                <w:color w:val="auto"/>
                <w:szCs w:val="21"/>
                <w:highlight w:val="none"/>
                <w:lang w:val="en-US" w:eastAsia="zh-CN"/>
              </w:rPr>
              <w:t>磋商</w:t>
            </w:r>
            <w:r>
              <w:rPr>
                <w:rFonts w:hint="eastAsia" w:ascii="宋体" w:hAnsi="宋体"/>
                <w:color w:val="auto"/>
                <w:szCs w:val="21"/>
                <w:highlight w:val="none"/>
              </w:rPr>
              <w:t>须知前附表”</w:t>
            </w:r>
            <w:r>
              <w:rPr>
                <w:rFonts w:ascii="宋体" w:hAnsi="宋体"/>
                <w:color w:val="auto"/>
                <w:szCs w:val="21"/>
                <w:highlight w:val="none"/>
              </w:rPr>
              <w:t>规定</w:t>
            </w:r>
          </w:p>
        </w:tc>
        <w:tc>
          <w:tcPr>
            <w:tcW w:w="1115" w:type="dxa"/>
            <w:noWrap w:val="0"/>
            <w:vAlign w:val="top"/>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706" w:type="dxa"/>
            <w:noWrap w:val="0"/>
            <w:vAlign w:val="center"/>
          </w:tcPr>
          <w:p>
            <w:pPr>
              <w:adjustRightInd w:val="0"/>
              <w:snapToGrid w:val="0"/>
              <w:ind w:right="-11" w:righ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847" w:type="dxa"/>
            <w:noWrap w:val="0"/>
            <w:vAlign w:val="center"/>
          </w:tcPr>
          <w:p>
            <w:pPr>
              <w:pageBreakBefore w:val="0"/>
              <w:kinsoku/>
              <w:wordWrap/>
              <w:overflowPunct/>
              <w:topLinePunct w:val="0"/>
              <w:autoSpaceDE/>
              <w:autoSpaceDN/>
              <w:bidi w:val="0"/>
              <w:adjustRightInd w:val="0"/>
              <w:snapToGrid w:val="0"/>
              <w:spacing w:line="400" w:lineRule="exact"/>
              <w:ind w:right="-11"/>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磋商响应文件</w:t>
            </w:r>
            <w:r>
              <w:rPr>
                <w:rFonts w:hint="eastAsia" w:ascii="宋体" w:hAnsi="宋体"/>
                <w:color w:val="auto"/>
                <w:szCs w:val="21"/>
                <w:highlight w:val="none"/>
              </w:rPr>
              <w:t>格式</w:t>
            </w:r>
          </w:p>
        </w:tc>
        <w:tc>
          <w:tcPr>
            <w:tcW w:w="4462" w:type="dxa"/>
            <w:noWrap w:val="0"/>
            <w:vAlign w:val="top"/>
          </w:tcPr>
          <w:p>
            <w:pPr>
              <w:pageBreakBefore w:val="0"/>
              <w:kinsoku/>
              <w:wordWrap/>
              <w:overflowPunct/>
              <w:topLinePunct w:val="0"/>
              <w:autoSpaceDE/>
              <w:autoSpaceDN/>
              <w:bidi w:val="0"/>
              <w:adjustRightInd w:val="0"/>
              <w:snapToGrid w:val="0"/>
              <w:spacing w:line="400" w:lineRule="exact"/>
              <w:ind w:right="-11"/>
              <w:textAlignment w:val="auto"/>
              <w:rPr>
                <w:rFonts w:hint="eastAsia" w:ascii="宋体" w:hAnsi="宋体"/>
                <w:color w:val="auto"/>
                <w:szCs w:val="21"/>
                <w:highlight w:val="none"/>
              </w:rPr>
            </w:pPr>
            <w:r>
              <w:rPr>
                <w:rFonts w:hint="eastAsia" w:ascii="宋体" w:hAnsi="宋体"/>
                <w:color w:val="auto"/>
                <w:szCs w:val="21"/>
                <w:highlight w:val="none"/>
                <w:lang w:eastAsia="zh-CN"/>
              </w:rPr>
              <w:t>磋商响应文件</w:t>
            </w:r>
            <w:r>
              <w:rPr>
                <w:rFonts w:hint="eastAsia" w:ascii="宋体" w:hAnsi="宋体"/>
                <w:color w:val="auto"/>
                <w:szCs w:val="21"/>
                <w:highlight w:val="none"/>
              </w:rPr>
              <w:t>按</w:t>
            </w:r>
            <w:r>
              <w:rPr>
                <w:rFonts w:hint="eastAsia" w:ascii="宋体" w:hAnsi="宋体"/>
                <w:color w:val="auto"/>
                <w:szCs w:val="21"/>
                <w:highlight w:val="none"/>
                <w:lang w:eastAsia="zh-CN"/>
              </w:rPr>
              <w:t>竞争性磋商文件</w:t>
            </w:r>
            <w:r>
              <w:rPr>
                <w:rFonts w:hint="eastAsia" w:ascii="宋体" w:hAnsi="宋体"/>
                <w:color w:val="auto"/>
                <w:szCs w:val="21"/>
                <w:highlight w:val="none"/>
              </w:rPr>
              <w:t>规定的格式填写，内容完整不得影响</w:t>
            </w:r>
            <w:r>
              <w:rPr>
                <w:rFonts w:hint="eastAsia" w:ascii="宋体" w:hAnsi="宋体"/>
                <w:color w:val="auto"/>
                <w:szCs w:val="21"/>
                <w:highlight w:val="none"/>
                <w:lang w:eastAsia="zh-CN"/>
              </w:rPr>
              <w:t>磋商响应文件</w:t>
            </w:r>
            <w:r>
              <w:rPr>
                <w:rFonts w:hint="eastAsia" w:ascii="宋体" w:hAnsi="宋体"/>
                <w:color w:val="auto"/>
                <w:szCs w:val="21"/>
                <w:highlight w:val="none"/>
              </w:rPr>
              <w:t>评审，且不得出现关键字迹模糊、无法辨认等情况。签字或盖章要求应符合</w:t>
            </w:r>
            <w:r>
              <w:rPr>
                <w:rFonts w:hint="eastAsia" w:ascii="宋体" w:hAnsi="宋体"/>
                <w:color w:val="auto"/>
                <w:szCs w:val="21"/>
                <w:highlight w:val="none"/>
                <w:lang w:eastAsia="zh-CN"/>
              </w:rPr>
              <w:t>竞争性磋商文件</w:t>
            </w:r>
            <w:r>
              <w:rPr>
                <w:rFonts w:hint="eastAsia" w:ascii="宋体" w:hAnsi="宋体"/>
                <w:color w:val="auto"/>
                <w:szCs w:val="21"/>
                <w:highlight w:val="none"/>
              </w:rPr>
              <w:t>规定的签字或盖章要求。</w:t>
            </w:r>
          </w:p>
        </w:tc>
        <w:tc>
          <w:tcPr>
            <w:tcW w:w="1115" w:type="dxa"/>
            <w:noWrap w:val="0"/>
            <w:vAlign w:val="center"/>
          </w:tcPr>
          <w:p>
            <w:pPr>
              <w:pageBreakBefore w:val="0"/>
              <w:kinsoku/>
              <w:wordWrap/>
              <w:overflowPunct/>
              <w:topLinePunct w:val="0"/>
              <w:autoSpaceDE/>
              <w:autoSpaceDN/>
              <w:bidi w:val="0"/>
              <w:spacing w:line="400" w:lineRule="exact"/>
              <w:jc w:val="center"/>
              <w:textAlignment w:val="auto"/>
              <w:rPr>
                <w:rFonts w:hint="eastAsia" w:ascii="Verdana" w:hAnsi="Verdana"/>
                <w:b/>
                <w:bCs/>
                <w:color w:val="auto"/>
                <w:szCs w:val="21"/>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706" w:type="dxa"/>
            <w:noWrap w:val="0"/>
            <w:vAlign w:val="center"/>
          </w:tcPr>
          <w:p>
            <w:pPr>
              <w:adjustRightInd w:val="0"/>
              <w:snapToGrid w:val="0"/>
              <w:ind w:right="-11" w:rightChars="0"/>
              <w:jc w:val="center"/>
              <w:rPr>
                <w:rFonts w:hint="eastAsia" w:ascii="宋体" w:hAnsi="宋体"/>
                <w:color w:val="auto"/>
                <w:szCs w:val="21"/>
                <w:highlight w:val="none"/>
              </w:rPr>
            </w:pPr>
            <w:r>
              <w:rPr>
                <w:rFonts w:hint="eastAsia" w:ascii="宋体" w:hAnsi="宋体"/>
                <w:color w:val="auto"/>
                <w:szCs w:val="21"/>
                <w:highlight w:val="none"/>
                <w:lang w:val="en-US" w:eastAsia="zh-CN"/>
              </w:rPr>
              <w:t>8</w:t>
            </w:r>
          </w:p>
        </w:tc>
        <w:tc>
          <w:tcPr>
            <w:tcW w:w="1847" w:type="dxa"/>
            <w:noWrap w:val="0"/>
            <w:vAlign w:val="center"/>
          </w:tcPr>
          <w:p>
            <w:pPr>
              <w:adjustRightInd w:val="0"/>
              <w:snapToGrid w:val="0"/>
              <w:ind w:right="-11" w:rightChars="0"/>
              <w:jc w:val="center"/>
              <w:rPr>
                <w:rFonts w:hint="eastAsia" w:ascii="宋体" w:hAnsi="宋体"/>
                <w:color w:val="auto"/>
                <w:szCs w:val="21"/>
                <w:highlight w:val="none"/>
              </w:rPr>
            </w:pPr>
            <w:r>
              <w:rPr>
                <w:rFonts w:hint="eastAsia" w:ascii="宋体" w:hAnsi="宋体"/>
                <w:color w:val="auto"/>
                <w:szCs w:val="21"/>
                <w:highlight w:val="none"/>
              </w:rPr>
              <w:t>雷同性分析</w:t>
            </w:r>
          </w:p>
        </w:tc>
        <w:tc>
          <w:tcPr>
            <w:tcW w:w="446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right="-11" w:rightChars="0"/>
              <w:textAlignment w:val="auto"/>
              <w:rPr>
                <w:rFonts w:hint="eastAsia" w:ascii="宋体" w:hAnsi="宋体"/>
                <w:color w:val="auto"/>
                <w:szCs w:val="21"/>
                <w:highlight w:val="none"/>
              </w:rPr>
            </w:pPr>
            <w:r>
              <w:rPr>
                <w:rFonts w:hint="eastAsia" w:ascii="宋体" w:hAnsi="宋体"/>
                <w:color w:val="auto"/>
                <w:szCs w:val="21"/>
                <w:highlight w:val="none"/>
                <w:lang w:eastAsia="zh-CN"/>
              </w:rPr>
              <w:t>供应商磋商响应文件</w:t>
            </w:r>
            <w:r>
              <w:rPr>
                <w:rFonts w:hint="eastAsia" w:ascii="宋体" w:hAnsi="宋体"/>
                <w:color w:val="auto"/>
                <w:szCs w:val="21"/>
                <w:highlight w:val="none"/>
              </w:rPr>
              <w:t>制作机器码一致或</w:t>
            </w:r>
            <w:r>
              <w:rPr>
                <w:rFonts w:hint="eastAsia" w:ascii="宋体" w:hAnsi="宋体"/>
                <w:color w:val="auto"/>
                <w:szCs w:val="21"/>
                <w:highlight w:val="none"/>
                <w:lang w:eastAsia="zh-CN"/>
              </w:rPr>
              <w:t>磋商响应文件</w:t>
            </w:r>
            <w:r>
              <w:rPr>
                <w:rFonts w:hint="eastAsia" w:ascii="宋体" w:hAnsi="宋体"/>
                <w:color w:val="auto"/>
                <w:szCs w:val="21"/>
                <w:highlight w:val="none"/>
              </w:rPr>
              <w:t>创建标识码一致或造价软件加密锁号一致的将不予通过。</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847"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outlineLvl w:val="9"/>
              <w:rPr>
                <w:rFonts w:hint="eastAsia" w:ascii="宋体" w:hAnsi="宋体" w:eastAsia="宋体" w:cs="宋体"/>
                <w:color w:val="auto"/>
                <w:kern w:val="10"/>
                <w:sz w:val="21"/>
                <w:szCs w:val="21"/>
                <w:highlight w:val="none"/>
                <w:lang w:val="en-US" w:eastAsia="zh-CN" w:bidi="ar-SA"/>
              </w:rPr>
            </w:pPr>
            <w:r>
              <w:rPr>
                <w:rFonts w:hint="eastAsia" w:ascii="宋体" w:hAnsi="宋体" w:cs="宋体"/>
                <w:color w:val="auto"/>
                <w:kern w:val="10"/>
                <w:sz w:val="21"/>
                <w:szCs w:val="21"/>
                <w:highlight w:val="none"/>
                <w:lang w:val="en-US" w:eastAsia="zh-CN"/>
              </w:rPr>
              <w:t>其他</w:t>
            </w:r>
          </w:p>
        </w:tc>
        <w:tc>
          <w:tcPr>
            <w:tcW w:w="44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auto"/>
                <w:kern w:val="10"/>
                <w:sz w:val="21"/>
                <w:szCs w:val="21"/>
                <w:highlight w:val="none"/>
                <w:lang w:val="en-US" w:eastAsia="zh-CN" w:bidi="ar-SA"/>
              </w:rPr>
            </w:pPr>
            <w:r>
              <w:rPr>
                <w:rFonts w:hint="eastAsia" w:ascii="宋体" w:hAnsi="宋体"/>
                <w:szCs w:val="21"/>
                <w:highlight w:val="none"/>
              </w:rPr>
              <w:t>是否符合供应商资格中落实政府采购政策需满足的资格要求，提供中小企业声明函（见</w:t>
            </w:r>
            <w:r>
              <w:rPr>
                <w:rFonts w:hint="eastAsia" w:ascii="宋体" w:hAnsi="宋体"/>
                <w:szCs w:val="21"/>
                <w:highlight w:val="none"/>
                <w:lang w:eastAsia="zh-CN"/>
              </w:rPr>
              <w:t>磋商响应文件</w:t>
            </w:r>
            <w:r>
              <w:rPr>
                <w:rFonts w:hint="eastAsia" w:ascii="宋体" w:hAnsi="宋体"/>
                <w:szCs w:val="21"/>
                <w:highlight w:val="none"/>
              </w:rPr>
              <w:t>格式中）或残疾人福利性单位声明函或省级以上监狱管理局、戒毒管理局（含新疆生产建设兵团）出具的属于监狱企业的证明文件扫描件；若</w:t>
            </w:r>
            <w:r>
              <w:rPr>
                <w:rFonts w:hint="eastAsia" w:ascii="宋体" w:hAnsi="宋体"/>
                <w:szCs w:val="21"/>
                <w:highlight w:val="none"/>
                <w:lang w:eastAsia="zh-CN"/>
              </w:rPr>
              <w:t>供应商</w:t>
            </w:r>
            <w:r>
              <w:rPr>
                <w:rFonts w:hint="eastAsia" w:ascii="宋体" w:hAnsi="宋体"/>
                <w:szCs w:val="21"/>
                <w:highlight w:val="none"/>
              </w:rPr>
              <w:t>须知前附表中写明专门面向中小企业采购的，如</w:t>
            </w:r>
            <w:r>
              <w:rPr>
                <w:rFonts w:hint="eastAsia" w:ascii="宋体" w:hAnsi="宋体"/>
                <w:szCs w:val="21"/>
                <w:highlight w:val="none"/>
                <w:lang w:eastAsia="zh-CN"/>
              </w:rPr>
              <w:t>供应商</w:t>
            </w:r>
            <w:r>
              <w:rPr>
                <w:rFonts w:hint="eastAsia" w:ascii="宋体" w:hAnsi="宋体"/>
                <w:szCs w:val="21"/>
                <w:highlight w:val="none"/>
              </w:rPr>
              <w:t>提供的货物非中小微企业制造的，其</w:t>
            </w:r>
            <w:r>
              <w:rPr>
                <w:rFonts w:hint="eastAsia" w:ascii="宋体" w:hAnsi="宋体"/>
                <w:szCs w:val="21"/>
                <w:highlight w:val="none"/>
                <w:lang w:eastAsia="zh-CN"/>
              </w:rPr>
              <w:t>磋商响应</w:t>
            </w:r>
            <w:r>
              <w:rPr>
                <w:rFonts w:hint="eastAsia" w:ascii="宋体" w:hAnsi="宋体"/>
                <w:szCs w:val="21"/>
                <w:highlight w:val="none"/>
              </w:rPr>
              <w:t>将被认定为响应无效。对符合政府采购政策规定的监狱企业、残疾人福利单位，在政府采购活动中视同小微企业。</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报价唯一</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ascii="Times New Roman" w:hAnsi="Times New Roman" w:eastAsia="宋体" w:cs="Times New Roman"/>
                <w:color w:val="auto"/>
                <w:kern w:val="2"/>
                <w:sz w:val="20"/>
                <w:szCs w:val="22"/>
                <w:highlight w:val="none"/>
                <w:lang w:val="en-US" w:eastAsia="zh-CN" w:bidi="ar-SA"/>
              </w:rPr>
            </w:pPr>
            <w:r>
              <w:rPr>
                <w:rFonts w:hint="eastAsia"/>
                <w:color w:val="auto"/>
                <w:highlight w:val="none"/>
              </w:rPr>
              <w:t>只能有一个有效报价</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查验</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开标现场各项查验合格；</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工期</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符合</w:t>
            </w:r>
            <w:r>
              <w:rPr>
                <w:rFonts w:hint="eastAsia"/>
                <w:color w:val="auto"/>
                <w:highlight w:val="none"/>
                <w:lang w:eastAsia="zh-CN"/>
              </w:rPr>
              <w:t>竞争性磋商文件</w:t>
            </w:r>
            <w:r>
              <w:rPr>
                <w:rFonts w:hint="eastAsia"/>
                <w:color w:val="auto"/>
                <w:highlight w:val="none"/>
              </w:rPr>
              <w:t>的相关规定</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color w:val="auto"/>
                <w:highlight w:val="none"/>
              </w:rPr>
            </w:pPr>
            <w:r>
              <w:rPr>
                <w:rFonts w:hint="eastAsia"/>
                <w:color w:val="auto"/>
                <w:highlight w:val="none"/>
              </w:rPr>
              <w:t>暂</w:t>
            </w:r>
            <w:r>
              <w:rPr>
                <w:rFonts w:hint="eastAsia"/>
                <w:color w:val="auto"/>
                <w:highlight w:val="none"/>
                <w:lang w:eastAsia="zh-CN"/>
              </w:rPr>
              <w:t>列</w:t>
            </w:r>
            <w:r>
              <w:rPr>
                <w:rFonts w:hint="eastAsia"/>
                <w:color w:val="auto"/>
                <w:highlight w:val="none"/>
              </w:rPr>
              <w:t>金额、暂</w:t>
            </w:r>
            <w:r>
              <w:rPr>
                <w:rFonts w:hint="eastAsia"/>
                <w:color w:val="auto"/>
                <w:highlight w:val="none"/>
                <w:lang w:eastAsia="zh-CN"/>
              </w:rPr>
              <w:t>估</w:t>
            </w:r>
            <w:r>
              <w:rPr>
                <w:rFonts w:hint="eastAsia"/>
                <w:color w:val="auto"/>
                <w:highlight w:val="none"/>
              </w:rPr>
              <w:t>价</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color w:val="auto"/>
                <w:highlight w:val="none"/>
              </w:rPr>
            </w:pPr>
            <w:r>
              <w:rPr>
                <w:rFonts w:hint="eastAsia"/>
                <w:color w:val="auto"/>
                <w:highlight w:val="none"/>
                <w:lang w:val="en-US" w:eastAsia="zh-CN"/>
              </w:rPr>
              <w:t>磋商</w:t>
            </w:r>
            <w:r>
              <w:rPr>
                <w:rFonts w:hint="eastAsia"/>
                <w:color w:val="auto"/>
                <w:highlight w:val="none"/>
              </w:rPr>
              <w:t>总报价中暂</w:t>
            </w:r>
            <w:r>
              <w:rPr>
                <w:rFonts w:hint="eastAsia"/>
                <w:color w:val="auto"/>
                <w:highlight w:val="none"/>
                <w:lang w:eastAsia="zh-CN"/>
              </w:rPr>
              <w:t>列</w:t>
            </w:r>
            <w:r>
              <w:rPr>
                <w:rFonts w:hint="eastAsia"/>
                <w:color w:val="auto"/>
                <w:highlight w:val="none"/>
              </w:rPr>
              <w:t>金额、暂</w:t>
            </w:r>
            <w:r>
              <w:rPr>
                <w:rFonts w:hint="eastAsia"/>
                <w:color w:val="auto"/>
                <w:highlight w:val="none"/>
                <w:lang w:eastAsia="zh-CN"/>
              </w:rPr>
              <w:t>估</w:t>
            </w:r>
            <w:r>
              <w:rPr>
                <w:rFonts w:hint="eastAsia"/>
                <w:color w:val="auto"/>
                <w:highlight w:val="none"/>
              </w:rPr>
              <w:t>价与招标工程量清单及</w:t>
            </w:r>
            <w:r>
              <w:rPr>
                <w:rFonts w:hint="eastAsia"/>
                <w:color w:val="auto"/>
                <w:highlight w:val="none"/>
                <w:lang w:eastAsia="zh-CN"/>
              </w:rPr>
              <w:t>最高磋商限价</w:t>
            </w:r>
            <w:r>
              <w:rPr>
                <w:rFonts w:hint="eastAsia"/>
                <w:color w:val="auto"/>
                <w:highlight w:val="none"/>
              </w:rPr>
              <w:t>中一致</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己标价工程量清单</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未对“工程量清单”项目编码、项目名称、计量单位、工程量进行修改和删减</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15</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不可竞争费</w:t>
            </w:r>
          </w:p>
        </w:tc>
        <w:tc>
          <w:tcPr>
            <w:tcW w:w="4462" w:type="dxa"/>
            <w:noWrap w:val="0"/>
            <w:vAlign w:val="center"/>
          </w:tcPr>
          <w:p>
            <w:pPr>
              <w:pageBreakBefore w:val="0"/>
              <w:kinsoku/>
              <w:wordWrap/>
              <w:overflowPunct/>
              <w:topLinePunct w:val="0"/>
              <w:autoSpaceDE/>
              <w:autoSpaceDN/>
              <w:bidi w:val="0"/>
              <w:spacing w:line="400" w:lineRule="exact"/>
              <w:textAlignment w:val="auto"/>
              <w:rPr>
                <w:color w:val="auto"/>
                <w:highlight w:val="none"/>
              </w:rPr>
            </w:pPr>
            <w:r>
              <w:rPr>
                <w:rFonts w:hint="eastAsia"/>
                <w:color w:val="auto"/>
                <w:highlight w:val="none"/>
              </w:rPr>
              <w:t>1、不可竞争费的费率、税金的费率必须与最高投标限价中相应费率一致。</w:t>
            </w:r>
          </w:p>
          <w:p>
            <w:pPr>
              <w:pageBreakBefore w:val="0"/>
              <w:kinsoku/>
              <w:wordWrap/>
              <w:overflowPunct/>
              <w:topLinePunct w:val="0"/>
              <w:autoSpaceDE/>
              <w:autoSpaceDN/>
              <w:bidi w:val="0"/>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2、安徽省建设工程造价管理总站《关于调整安徽省建设工程不可竞争费构成及计费标准的通知》（建标〔2021〕42号）。</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16</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color w:val="auto"/>
                <w:highlight w:val="none"/>
              </w:rPr>
            </w:pPr>
            <w:r>
              <w:rPr>
                <w:rFonts w:hint="eastAsia" w:ascii="Dotum" w:hAnsi="Dotum"/>
                <w:szCs w:val="21"/>
                <w:highlight w:val="none"/>
              </w:rPr>
              <w:t>响应文件是否存在磋商文件中约定的无效响应文件的其他情况</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color w:val="auto"/>
                <w:highlight w:val="none"/>
              </w:rPr>
            </w:pPr>
            <w:r>
              <w:rPr>
                <w:rFonts w:hint="eastAsia" w:ascii="Dotum" w:hAnsi="Dotum"/>
                <w:szCs w:val="21"/>
                <w:highlight w:val="none"/>
              </w:rPr>
              <w:t>响应文件是否存在磋商文件中约定的无效响应文件的其他情况</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706" w:type="dxa"/>
            <w:noWrap w:val="0"/>
            <w:vAlign w:val="center"/>
          </w:tcPr>
          <w:p>
            <w:pPr>
              <w:adjustRightInd w:val="0"/>
              <w:snapToGrid w:val="0"/>
              <w:ind w:right="-11" w:rightChars="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17</w:t>
            </w:r>
          </w:p>
        </w:tc>
        <w:tc>
          <w:tcPr>
            <w:tcW w:w="1847" w:type="dxa"/>
            <w:noWrap w:val="0"/>
            <w:vAlign w:val="center"/>
          </w:tcPr>
          <w:p>
            <w:pPr>
              <w:pageBreakBefore w:val="0"/>
              <w:kinsoku/>
              <w:wordWrap/>
              <w:overflowPunct/>
              <w:topLinePunct w:val="0"/>
              <w:autoSpaceDE/>
              <w:autoSpaceDN/>
              <w:bidi w:val="0"/>
              <w:spacing w:line="400" w:lineRule="exact"/>
              <w:jc w:val="center"/>
              <w:textAlignment w:val="auto"/>
              <w:rPr>
                <w:rFonts w:hint="eastAsia"/>
                <w:color w:val="auto"/>
                <w:highlight w:val="none"/>
              </w:rPr>
            </w:pPr>
            <w:r>
              <w:rPr>
                <w:rFonts w:hint="eastAsia" w:ascii="Dotum" w:hAnsi="Dotum"/>
                <w:szCs w:val="21"/>
                <w:highlight w:val="none"/>
              </w:rPr>
              <w:t>响应文件是否符合磋商文件</w:t>
            </w:r>
          </w:p>
        </w:tc>
        <w:tc>
          <w:tcPr>
            <w:tcW w:w="4462" w:type="dxa"/>
            <w:noWrap w:val="0"/>
            <w:vAlign w:val="center"/>
          </w:tcPr>
          <w:p>
            <w:pPr>
              <w:pageBreakBefore w:val="0"/>
              <w:kinsoku/>
              <w:wordWrap/>
              <w:overflowPunct/>
              <w:topLinePunct w:val="0"/>
              <w:autoSpaceDE/>
              <w:autoSpaceDN/>
              <w:bidi w:val="0"/>
              <w:spacing w:line="400" w:lineRule="exact"/>
              <w:textAlignment w:val="auto"/>
              <w:rPr>
                <w:rFonts w:hint="eastAsia"/>
                <w:color w:val="auto"/>
                <w:highlight w:val="none"/>
              </w:rPr>
            </w:pPr>
            <w:r>
              <w:rPr>
                <w:rFonts w:hint="eastAsia" w:ascii="Dotum" w:hAnsi="Dotum"/>
                <w:szCs w:val="21"/>
                <w:highlight w:val="none"/>
              </w:rPr>
              <w:t>响应文件是否符合磋商文件</w:t>
            </w:r>
          </w:p>
        </w:tc>
        <w:tc>
          <w:tcPr>
            <w:tcW w:w="1115" w:type="dxa"/>
            <w:noWrap w:val="0"/>
            <w:vAlign w:val="center"/>
          </w:tcPr>
          <w:p>
            <w:pPr>
              <w:spacing w:line="300" w:lineRule="exact"/>
              <w:jc w:val="center"/>
              <w:rPr>
                <w:rFonts w:hint="eastAsia" w:ascii="Verdana" w:hAnsi="Verdana"/>
                <w:b/>
                <w:bCs/>
                <w:color w:val="auto"/>
                <w:szCs w:val="21"/>
                <w:highlight w:val="none"/>
              </w:rPr>
            </w:pPr>
          </w:p>
        </w:tc>
        <w:tc>
          <w:tcPr>
            <w:tcW w:w="1070" w:type="dxa"/>
            <w:noWrap w:val="0"/>
            <w:vAlign w:val="center"/>
          </w:tcPr>
          <w:p>
            <w:pPr>
              <w:spacing w:line="300" w:lineRule="exact"/>
              <w:jc w:val="center"/>
              <w:rPr>
                <w:rFonts w:hint="eastAsia" w:ascii="Verdana" w:hAnsi="Verdan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553" w:type="dxa"/>
            <w:gridSpan w:val="2"/>
            <w:noWrap w:val="0"/>
            <w:vAlign w:val="center"/>
          </w:tcPr>
          <w:p>
            <w:pPr>
              <w:pageBreakBefore w:val="0"/>
              <w:kinsoku/>
              <w:wordWrap/>
              <w:overflowPunct/>
              <w:topLinePunct w:val="0"/>
              <w:autoSpaceDE/>
              <w:autoSpaceDN/>
              <w:bidi w:val="0"/>
              <w:spacing w:line="400" w:lineRule="exact"/>
              <w:jc w:val="center"/>
              <w:textAlignment w:val="auto"/>
              <w:rPr>
                <w:rFonts w:hint="eastAsia" w:ascii="Verdana" w:hAnsi="Verdana"/>
                <w:b/>
                <w:bCs/>
                <w:color w:val="auto"/>
                <w:szCs w:val="21"/>
                <w:highlight w:val="none"/>
              </w:rPr>
            </w:pPr>
            <w:r>
              <w:rPr>
                <w:rFonts w:hint="eastAsia" w:ascii="Verdana" w:hAnsi="Verdana"/>
                <w:b/>
                <w:bCs/>
                <w:color w:val="auto"/>
                <w:szCs w:val="21"/>
                <w:highlight w:val="none"/>
              </w:rPr>
              <w:t>评审结论</w:t>
            </w:r>
          </w:p>
        </w:tc>
        <w:tc>
          <w:tcPr>
            <w:tcW w:w="4462" w:type="dxa"/>
            <w:noWrap w:val="0"/>
            <w:vAlign w:val="center"/>
          </w:tcPr>
          <w:p>
            <w:pPr>
              <w:pageBreakBefore w:val="0"/>
              <w:kinsoku/>
              <w:wordWrap/>
              <w:overflowPunct/>
              <w:topLinePunct w:val="0"/>
              <w:autoSpaceDE/>
              <w:autoSpaceDN/>
              <w:bidi w:val="0"/>
              <w:spacing w:line="400" w:lineRule="exact"/>
              <w:jc w:val="center"/>
              <w:textAlignment w:val="auto"/>
              <w:rPr>
                <w:rFonts w:hint="eastAsia" w:ascii="Verdana" w:hAnsi="Verdana"/>
                <w:b/>
                <w:bCs/>
                <w:color w:val="auto"/>
                <w:szCs w:val="21"/>
                <w:highlight w:val="none"/>
              </w:rPr>
            </w:pPr>
            <w:r>
              <w:rPr>
                <w:rFonts w:hint="eastAsia" w:ascii="Verdana" w:hAnsi="Verdana"/>
                <w:color w:val="auto"/>
                <w:szCs w:val="21"/>
                <w:highlight w:val="none"/>
              </w:rPr>
              <w:t>全部通过为合格</w:t>
            </w:r>
          </w:p>
        </w:tc>
        <w:tc>
          <w:tcPr>
            <w:tcW w:w="1115" w:type="dxa"/>
            <w:noWrap w:val="0"/>
            <w:vAlign w:val="center"/>
          </w:tcPr>
          <w:p>
            <w:pPr>
              <w:pageBreakBefore w:val="0"/>
              <w:kinsoku/>
              <w:wordWrap/>
              <w:overflowPunct/>
              <w:topLinePunct w:val="0"/>
              <w:autoSpaceDE/>
              <w:autoSpaceDN/>
              <w:bidi w:val="0"/>
              <w:spacing w:line="400" w:lineRule="exact"/>
              <w:jc w:val="center"/>
              <w:textAlignment w:val="auto"/>
              <w:rPr>
                <w:rFonts w:hint="eastAsia" w:ascii="Verdana" w:hAnsi="Verdana"/>
                <w:b/>
                <w:bCs/>
                <w:color w:val="auto"/>
                <w:sz w:val="24"/>
                <w:highlight w:val="none"/>
              </w:rPr>
            </w:pPr>
          </w:p>
        </w:tc>
        <w:tc>
          <w:tcPr>
            <w:tcW w:w="1070" w:type="dxa"/>
            <w:noWrap w:val="0"/>
            <w:vAlign w:val="center"/>
          </w:tcPr>
          <w:p>
            <w:pPr>
              <w:pageBreakBefore w:val="0"/>
              <w:kinsoku/>
              <w:wordWrap/>
              <w:overflowPunct/>
              <w:topLinePunct w:val="0"/>
              <w:autoSpaceDE/>
              <w:autoSpaceDN/>
              <w:bidi w:val="0"/>
              <w:spacing w:line="400" w:lineRule="exact"/>
              <w:jc w:val="center"/>
              <w:textAlignment w:val="auto"/>
              <w:rPr>
                <w:rFonts w:hint="eastAsia" w:ascii="Verdana" w:hAnsi="Verdana"/>
                <w:b/>
                <w:bCs/>
                <w:color w:val="auto"/>
                <w:sz w:val="24"/>
                <w:highlight w:val="none"/>
              </w:rPr>
            </w:pPr>
          </w:p>
        </w:tc>
      </w:tr>
    </w:tbl>
    <w:p>
      <w:pPr>
        <w:widowControl/>
        <w:spacing w:line="500" w:lineRule="exact"/>
        <w:ind w:firstLine="405"/>
        <w:jc w:val="left"/>
        <w:rPr>
          <w:rFonts w:ascii="宋体" w:cs="宋体"/>
          <w:b/>
          <w:szCs w:val="21"/>
          <w:highlight w:val="none"/>
        </w:rPr>
      </w:pPr>
      <w:r>
        <w:rPr>
          <w:rFonts w:hint="eastAsia" w:ascii="宋体" w:hAnsi="宋体" w:cs="宋体"/>
          <w:b/>
          <w:szCs w:val="21"/>
          <w:highlight w:val="none"/>
        </w:rPr>
        <w:t>备注</w:t>
      </w:r>
      <w:r>
        <w:rPr>
          <w:rFonts w:hint="eastAsia" w:ascii="宋体" w:cs="宋体"/>
          <w:b/>
          <w:szCs w:val="21"/>
          <w:highlight w:val="none"/>
        </w:rPr>
        <w:t>：</w:t>
      </w:r>
      <w:r>
        <w:rPr>
          <w:rFonts w:hint="eastAsia" w:ascii="宋体" w:hAnsi="宋体"/>
          <w:szCs w:val="21"/>
          <w:highlight w:val="none"/>
        </w:rPr>
        <w:t>供应商须按磋商文件要求提供复印件或影印件或扫描件，并加盖供应商公章，否则响应无效。</w:t>
      </w:r>
    </w:p>
    <w:p>
      <w:pPr>
        <w:spacing w:line="360" w:lineRule="auto"/>
        <w:ind w:firstLine="413" w:firstLineChars="196"/>
        <w:rPr>
          <w:rFonts w:ascii="宋体" w:hAnsi="宋体"/>
          <w:b/>
          <w:szCs w:val="21"/>
          <w:highlight w:val="none"/>
        </w:rPr>
      </w:pPr>
      <w:r>
        <w:rPr>
          <w:rFonts w:ascii="宋体" w:hAnsi="宋体"/>
          <w:b/>
          <w:szCs w:val="21"/>
          <w:highlight w:val="none"/>
        </w:rPr>
        <w:t xml:space="preserve"> 25.2</w:t>
      </w:r>
      <w:r>
        <w:rPr>
          <w:rFonts w:hint="eastAsia" w:ascii="宋体" w:hAnsi="宋体"/>
          <w:b/>
          <w:szCs w:val="21"/>
          <w:highlight w:val="none"/>
        </w:rPr>
        <w:t>、磋商</w:t>
      </w:r>
    </w:p>
    <w:p>
      <w:pPr>
        <w:adjustRightInd w:val="0"/>
        <w:spacing w:line="480" w:lineRule="exact"/>
        <w:textAlignment w:val="baseline"/>
        <w:rPr>
          <w:szCs w:val="21"/>
          <w:highlight w:val="none"/>
        </w:rPr>
      </w:pPr>
      <w:r>
        <w:rPr>
          <w:rFonts w:ascii="宋体" w:hAnsi="宋体"/>
          <w:szCs w:val="21"/>
          <w:highlight w:val="none"/>
        </w:rPr>
        <w:t xml:space="preserve">     25.2.1</w:t>
      </w:r>
      <w:r>
        <w:rPr>
          <w:rFonts w:hint="eastAsia" w:ascii="宋体" w:hAnsi="宋体"/>
          <w:szCs w:val="21"/>
          <w:highlight w:val="none"/>
        </w:rPr>
        <w:t>所</w:t>
      </w:r>
      <w:r>
        <w:rPr>
          <w:rFonts w:hint="eastAsia"/>
          <w:szCs w:val="21"/>
          <w:highlight w:val="none"/>
        </w:rPr>
        <w:t>有通过符合性审查的供应商均可以参加线上磋商。</w:t>
      </w:r>
      <w:r>
        <w:rPr>
          <w:rFonts w:hint="eastAsia" w:ascii="宋体" w:hAnsi="宋体"/>
          <w:szCs w:val="21"/>
          <w:highlight w:val="none"/>
        </w:rPr>
        <w:t>磋商小组所有成员应当集中与单一供应商分别进行磋商，给予每个正在参加磋商的供应商相同的机会。</w:t>
      </w:r>
      <w:r>
        <w:rPr>
          <w:rFonts w:hint="eastAsia"/>
          <w:szCs w:val="21"/>
          <w:highlight w:val="none"/>
        </w:rPr>
        <w:t>磋商内容为</w:t>
      </w:r>
      <w:r>
        <w:rPr>
          <w:rFonts w:hint="eastAsia" w:hAnsi="宋体" w:cs="宋体"/>
          <w:szCs w:val="21"/>
          <w:highlight w:val="none"/>
        </w:rPr>
        <w:t>根据磋商文件要求，就供应商</w:t>
      </w:r>
      <w:r>
        <w:rPr>
          <w:rFonts w:hint="eastAsia"/>
          <w:szCs w:val="21"/>
          <w:highlight w:val="none"/>
        </w:rPr>
        <w:t>响应文件中提供的方案等进行磋商。</w:t>
      </w:r>
    </w:p>
    <w:p>
      <w:pPr>
        <w:adjustRightInd w:val="0"/>
        <w:spacing w:line="480" w:lineRule="exact"/>
        <w:ind w:left="178" w:leftChars="85" w:firstLine="420" w:firstLineChars="200"/>
        <w:textAlignment w:val="baseline"/>
        <w:rPr>
          <w:rFonts w:ascii="宋体" w:hAnsi="宋体"/>
          <w:szCs w:val="21"/>
          <w:highlight w:val="none"/>
        </w:rPr>
      </w:pPr>
      <w:r>
        <w:rPr>
          <w:rFonts w:ascii="宋体" w:hAnsi="宋体"/>
          <w:szCs w:val="21"/>
          <w:highlight w:val="none"/>
        </w:rPr>
        <w:t>25.2.2</w:t>
      </w:r>
      <w:r>
        <w:rPr>
          <w:rFonts w:hint="eastAsia" w:ascii="宋体" w:hAnsi="宋体"/>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highlight w:val="none"/>
        </w:rPr>
        <w:t xml:space="preserve"> </w:t>
      </w:r>
    </w:p>
    <w:p>
      <w:pPr>
        <w:adjustRightInd w:val="0"/>
        <w:spacing w:line="480" w:lineRule="exact"/>
        <w:ind w:left="178" w:leftChars="85" w:firstLine="420" w:firstLineChars="200"/>
        <w:textAlignment w:val="baseline"/>
        <w:rPr>
          <w:rFonts w:ascii="宋体" w:hAnsi="宋体"/>
          <w:szCs w:val="21"/>
          <w:highlight w:val="none"/>
        </w:rPr>
      </w:pPr>
      <w:r>
        <w:rPr>
          <w:rFonts w:ascii="宋体" w:hAnsi="宋体"/>
          <w:szCs w:val="21"/>
          <w:highlight w:val="none"/>
        </w:rPr>
        <w:t>25.2.3</w:t>
      </w:r>
      <w:r>
        <w:rPr>
          <w:rFonts w:hint="eastAsia" w:ascii="宋体" w:hAnsi="宋体"/>
          <w:szCs w:val="21"/>
          <w:highlight w:val="none"/>
        </w:rPr>
        <w:t>对磋商文件作出的实质性变动是磋商文件的有效组成部分，磋商小组及时通过电子交易系统同时通知所有参加磋商的供应商。</w:t>
      </w:r>
      <w:r>
        <w:rPr>
          <w:rFonts w:ascii="宋体" w:hAnsi="宋体"/>
          <w:szCs w:val="21"/>
          <w:highlight w:val="none"/>
        </w:rPr>
        <w:t xml:space="preserve"> </w:t>
      </w:r>
    </w:p>
    <w:p>
      <w:pPr>
        <w:adjustRightInd w:val="0"/>
        <w:spacing w:line="480" w:lineRule="exact"/>
        <w:ind w:left="178" w:leftChars="85" w:firstLine="420" w:firstLineChars="200"/>
        <w:textAlignment w:val="baseline"/>
        <w:rPr>
          <w:rFonts w:hint="eastAsia"/>
          <w:szCs w:val="21"/>
          <w:highlight w:val="none"/>
        </w:rPr>
      </w:pPr>
      <w:r>
        <w:rPr>
          <w:rFonts w:ascii="宋体" w:hAnsi="宋体"/>
          <w:szCs w:val="21"/>
          <w:highlight w:val="none"/>
        </w:rPr>
        <w:t>25.2.4</w:t>
      </w:r>
      <w:r>
        <w:rPr>
          <w:rFonts w:hint="eastAsia" w:ascii="宋体" w:hAnsi="宋体"/>
          <w:szCs w:val="21"/>
          <w:highlight w:val="none"/>
        </w:rPr>
        <w:t>供应商按照磋商文件的变动情况和磋商小组的要求自主决定是否修改响应文件，如修改响应文件，</w:t>
      </w:r>
      <w:r>
        <w:rPr>
          <w:rFonts w:hint="eastAsia"/>
          <w:szCs w:val="21"/>
          <w:highlight w:val="none"/>
        </w:rPr>
        <w:t>供应商应当按照磋商文件的变动情况和磋商小组的要求通过电子交易系统重新提交响应文件，并加盖其法定代表人电子签章及供应商电子公章。</w:t>
      </w:r>
    </w:p>
    <w:p>
      <w:pPr>
        <w:adjustRightInd w:val="0"/>
        <w:spacing w:line="480" w:lineRule="exact"/>
        <w:ind w:left="178" w:leftChars="85" w:firstLine="420" w:firstLineChars="200"/>
        <w:textAlignment w:val="baseline"/>
      </w:pPr>
      <w:r>
        <w:rPr>
          <w:rFonts w:hint="eastAsia" w:eastAsia="宋体"/>
          <w:szCs w:val="21"/>
          <w:highlight w:val="none"/>
          <w:lang w:val="en-US" w:eastAsia="zh-CN"/>
        </w:rPr>
        <w:t>25.2.5</w:t>
      </w:r>
      <w:r>
        <w:rPr>
          <w:rFonts w:hint="eastAsia" w:eastAsia="宋体"/>
          <w:szCs w:val="21"/>
          <w:highlight w:val="none"/>
        </w:rPr>
        <w:t>有下列情形之一的，在</w:t>
      </w:r>
      <w:r>
        <w:rPr>
          <w:rFonts w:hint="eastAsia" w:eastAsia="宋体"/>
          <w:szCs w:val="21"/>
          <w:highlight w:val="none"/>
          <w:lang w:val="en-US" w:eastAsia="zh-CN"/>
        </w:rPr>
        <w:t>磋商</w:t>
      </w:r>
      <w:r>
        <w:rPr>
          <w:rFonts w:hint="eastAsia" w:eastAsia="宋体"/>
          <w:szCs w:val="21"/>
          <w:highlight w:val="none"/>
        </w:rPr>
        <w:t>时，</w:t>
      </w:r>
      <w:r>
        <w:rPr>
          <w:rFonts w:hint="eastAsia" w:eastAsia="宋体"/>
          <w:szCs w:val="21"/>
          <w:highlight w:val="none"/>
          <w:lang w:val="en-US" w:eastAsia="zh-CN"/>
        </w:rPr>
        <w:t>磋商</w:t>
      </w:r>
      <w:r>
        <w:rPr>
          <w:rFonts w:hint="eastAsia" w:eastAsia="宋体"/>
          <w:szCs w:val="21"/>
          <w:highlight w:val="none"/>
          <w:lang w:eastAsia="zh-CN"/>
        </w:rPr>
        <w:t>小组</w:t>
      </w:r>
      <w:r>
        <w:rPr>
          <w:rFonts w:hint="eastAsia" w:eastAsia="宋体"/>
          <w:szCs w:val="21"/>
          <w:highlight w:val="none"/>
        </w:rPr>
        <w:t>可以要求</w:t>
      </w:r>
      <w:r>
        <w:rPr>
          <w:rFonts w:hint="eastAsia" w:eastAsia="宋体"/>
          <w:szCs w:val="21"/>
          <w:highlight w:val="none"/>
          <w:lang w:val="en-US" w:eastAsia="zh-CN"/>
        </w:rPr>
        <w:t>磋商</w:t>
      </w:r>
      <w:r>
        <w:rPr>
          <w:rFonts w:hint="eastAsia" w:eastAsia="宋体"/>
          <w:szCs w:val="21"/>
          <w:highlight w:val="none"/>
          <w:lang w:eastAsia="zh-CN"/>
        </w:rPr>
        <w:t>响应人</w:t>
      </w:r>
      <w:r>
        <w:rPr>
          <w:rFonts w:hint="eastAsia" w:eastAsia="宋体"/>
          <w:szCs w:val="21"/>
          <w:highlight w:val="none"/>
        </w:rPr>
        <w:t>作出说明并提供相关材料：</w:t>
      </w:r>
      <w:r>
        <w:rPr>
          <w:rFonts w:hint="eastAsia" w:eastAsia="宋体"/>
          <w:szCs w:val="21"/>
          <w:highlight w:val="none"/>
          <w:lang w:eastAsia="zh-CN"/>
        </w:rPr>
        <w:t>①</w:t>
      </w:r>
      <w:r>
        <w:rPr>
          <w:rFonts w:hint="eastAsia" w:eastAsia="宋体"/>
          <w:szCs w:val="21"/>
          <w:highlight w:val="none"/>
          <w:lang w:val="en-US" w:eastAsia="zh-CN"/>
        </w:rPr>
        <w:t>磋商</w:t>
      </w:r>
      <w:r>
        <w:rPr>
          <w:rFonts w:hint="eastAsia" w:eastAsia="宋体"/>
          <w:szCs w:val="21"/>
          <w:highlight w:val="none"/>
          <w:lang w:eastAsia="zh-CN"/>
        </w:rPr>
        <w:t>报价与最高限价相比降幅过低</w:t>
      </w:r>
      <w:r>
        <w:rPr>
          <w:rFonts w:hint="eastAsia" w:eastAsia="宋体"/>
          <w:szCs w:val="21"/>
          <w:highlight w:val="none"/>
        </w:rPr>
        <w:t>的</w:t>
      </w:r>
      <w:r>
        <w:rPr>
          <w:rFonts w:hint="eastAsia" w:eastAsia="宋体"/>
          <w:szCs w:val="21"/>
          <w:highlight w:val="none"/>
          <w:lang w:eastAsia="zh-CN"/>
        </w:rPr>
        <w:t>；②</w:t>
      </w:r>
      <w:r>
        <w:rPr>
          <w:rFonts w:hint="eastAsia" w:eastAsia="宋体"/>
          <w:szCs w:val="21"/>
          <w:highlight w:val="none"/>
        </w:rPr>
        <w:t>经</w:t>
      </w:r>
      <w:r>
        <w:rPr>
          <w:rFonts w:hint="eastAsia" w:eastAsia="宋体"/>
          <w:szCs w:val="21"/>
          <w:highlight w:val="none"/>
          <w:lang w:val="en-US" w:eastAsia="zh-CN"/>
        </w:rPr>
        <w:t>磋商</w:t>
      </w:r>
      <w:r>
        <w:rPr>
          <w:rFonts w:hint="eastAsia" w:eastAsia="宋体"/>
          <w:szCs w:val="21"/>
          <w:highlight w:val="none"/>
          <w:lang w:eastAsia="zh-CN"/>
        </w:rPr>
        <w:t>小组评审</w:t>
      </w:r>
      <w:r>
        <w:rPr>
          <w:rFonts w:hint="eastAsia" w:eastAsia="宋体"/>
          <w:szCs w:val="21"/>
          <w:highlight w:val="none"/>
        </w:rPr>
        <w:t>，</w:t>
      </w:r>
      <w:r>
        <w:rPr>
          <w:rFonts w:hint="eastAsia" w:eastAsia="宋体"/>
          <w:szCs w:val="21"/>
          <w:highlight w:val="none"/>
          <w:lang w:eastAsia="zh-CN"/>
        </w:rPr>
        <w:t>认为</w:t>
      </w:r>
      <w:r>
        <w:rPr>
          <w:rFonts w:hint="eastAsia" w:eastAsia="宋体"/>
          <w:szCs w:val="21"/>
          <w:highlight w:val="none"/>
        </w:rPr>
        <w:t>该</w:t>
      </w:r>
      <w:r>
        <w:rPr>
          <w:rFonts w:hint="eastAsia" w:eastAsia="宋体"/>
          <w:szCs w:val="21"/>
          <w:highlight w:val="none"/>
          <w:lang w:val="en-US" w:eastAsia="zh-CN"/>
        </w:rPr>
        <w:t>磋商</w:t>
      </w:r>
      <w:r>
        <w:rPr>
          <w:rFonts w:hint="eastAsia" w:eastAsia="宋体"/>
          <w:szCs w:val="21"/>
          <w:highlight w:val="none"/>
          <w:lang w:eastAsia="zh-CN"/>
        </w:rPr>
        <w:t>响应人</w:t>
      </w:r>
      <w:r>
        <w:rPr>
          <w:rFonts w:hint="eastAsia" w:eastAsia="宋体"/>
          <w:szCs w:val="21"/>
          <w:highlight w:val="none"/>
        </w:rPr>
        <w:t>的报价低于其企业成本的。</w:t>
      </w:r>
    </w:p>
    <w:p>
      <w:pPr>
        <w:adjustRightInd w:val="0"/>
        <w:spacing w:line="480" w:lineRule="exact"/>
        <w:ind w:left="178" w:leftChars="85" w:firstLine="422" w:firstLineChars="200"/>
        <w:textAlignment w:val="baseline"/>
        <w:rPr>
          <w:rFonts w:ascii="宋体"/>
          <w:b/>
          <w:bCs/>
          <w:szCs w:val="21"/>
          <w:highlight w:val="none"/>
        </w:rPr>
      </w:pPr>
      <w:r>
        <w:rPr>
          <w:rFonts w:ascii="宋体" w:hAnsi="宋体"/>
          <w:b/>
          <w:bCs/>
          <w:szCs w:val="21"/>
          <w:highlight w:val="none"/>
        </w:rPr>
        <w:t>25.3</w:t>
      </w:r>
      <w:r>
        <w:rPr>
          <w:rFonts w:hint="eastAsia" w:ascii="宋体" w:hAnsi="宋体"/>
          <w:b/>
          <w:bCs/>
          <w:szCs w:val="21"/>
          <w:highlight w:val="none"/>
        </w:rPr>
        <w:t>最后报价</w:t>
      </w:r>
    </w:p>
    <w:p>
      <w:pPr>
        <w:adjustRightInd w:val="0"/>
        <w:spacing w:line="480" w:lineRule="exact"/>
        <w:ind w:left="178" w:leftChars="85" w:firstLine="420" w:firstLineChars="200"/>
        <w:textAlignment w:val="baseline"/>
        <w:rPr>
          <w:rFonts w:ascii="宋体" w:hAnsi="宋体"/>
          <w:szCs w:val="21"/>
          <w:highlight w:val="none"/>
        </w:rPr>
      </w:pPr>
      <w:r>
        <w:rPr>
          <w:rFonts w:hint="eastAsia" w:ascii="宋体" w:hAnsi="宋体"/>
          <w:szCs w:val="21"/>
          <w:highlight w:val="none"/>
        </w:rPr>
        <w:t>若经磋商后需更改响应文件报价部分的，允许供应商作最后修改，修改结果是供应商响应文件的有效组成部分。最后修改由供应商在磋商小组规定时间内通过电子交易系统提交，且必须有供应商法定代表人电子签章及供应商电子公章，无电子签章和电子公章的视为无效修改。</w:t>
      </w:r>
    </w:p>
    <w:p>
      <w:pPr>
        <w:adjustRightInd w:val="0"/>
        <w:spacing w:line="480" w:lineRule="exact"/>
        <w:ind w:left="178" w:leftChars="85" w:firstLine="396" w:firstLineChars="200"/>
        <w:textAlignment w:val="baseline"/>
        <w:rPr>
          <w:rFonts w:ascii="宋体" w:hAnsi="宋体"/>
          <w:szCs w:val="21"/>
          <w:highlight w:val="none"/>
        </w:rPr>
      </w:pPr>
      <w:r>
        <w:rPr>
          <w:rFonts w:hint="eastAsia" w:hAnsi="宋体" w:cs="宋体"/>
          <w:spacing w:val="-6"/>
          <w:szCs w:val="21"/>
          <w:highlight w:val="none"/>
        </w:rPr>
        <w:t>供应商未在规定时间内通过电子交易系统提交最</w:t>
      </w:r>
      <w:r>
        <w:rPr>
          <w:rFonts w:hint="eastAsia" w:hAnsi="宋体" w:cs="宋体"/>
          <w:spacing w:val="-6"/>
          <w:highlight w:val="none"/>
        </w:rPr>
        <w:t>后</w:t>
      </w:r>
      <w:r>
        <w:rPr>
          <w:rFonts w:hint="eastAsia" w:hAnsi="宋体" w:cs="宋体"/>
          <w:spacing w:val="-6"/>
          <w:szCs w:val="21"/>
          <w:highlight w:val="none"/>
        </w:rPr>
        <w:t>报价的，磋商小组以该供应商的</w:t>
      </w:r>
      <w:r>
        <w:rPr>
          <w:rFonts w:hint="eastAsia" w:hAnsi="宋体" w:cs="宋体"/>
          <w:spacing w:val="-6"/>
          <w:highlight w:val="none"/>
        </w:rPr>
        <w:t>磋商响应函</w:t>
      </w:r>
      <w:r>
        <w:rPr>
          <w:rFonts w:hint="eastAsia" w:hAnsi="宋体" w:cs="宋体"/>
          <w:spacing w:val="-6"/>
          <w:szCs w:val="21"/>
          <w:highlight w:val="none"/>
        </w:rPr>
        <w:t>报价作为最</w:t>
      </w:r>
      <w:r>
        <w:rPr>
          <w:rFonts w:hint="eastAsia" w:hAnsi="宋体" w:cs="宋体"/>
          <w:spacing w:val="-6"/>
          <w:highlight w:val="none"/>
        </w:rPr>
        <w:t>后</w:t>
      </w:r>
      <w:r>
        <w:rPr>
          <w:rFonts w:hint="eastAsia" w:hAnsi="宋体" w:cs="宋体"/>
          <w:spacing w:val="-6"/>
          <w:szCs w:val="21"/>
          <w:highlight w:val="none"/>
        </w:rPr>
        <w:t>报价。</w:t>
      </w:r>
    </w:p>
    <w:p>
      <w:pPr>
        <w:adjustRightInd w:val="0"/>
        <w:spacing w:line="480" w:lineRule="exact"/>
        <w:ind w:left="178" w:leftChars="85" w:firstLine="420" w:firstLineChars="200"/>
        <w:textAlignment w:val="baseline"/>
        <w:rPr>
          <w:rFonts w:ascii="宋体" w:hAnsi="宋体"/>
          <w:szCs w:val="21"/>
          <w:highlight w:val="none"/>
        </w:rPr>
      </w:pPr>
      <w:r>
        <w:rPr>
          <w:rFonts w:ascii="宋体" w:hAnsi="宋体"/>
          <w:szCs w:val="21"/>
          <w:highlight w:val="none"/>
        </w:rPr>
        <w:t>根据</w:t>
      </w:r>
      <w:r>
        <w:rPr>
          <w:rFonts w:hint="eastAsia" w:ascii="宋体" w:hAnsi="宋体"/>
          <w:szCs w:val="21"/>
          <w:highlight w:val="none"/>
        </w:rPr>
        <w:t>《政府采购促进中小企业发展管理办法》</w:t>
      </w:r>
      <w:r>
        <w:rPr>
          <w:rFonts w:ascii="宋体" w:hAnsi="宋体"/>
          <w:szCs w:val="21"/>
          <w:highlight w:val="none"/>
        </w:rPr>
        <w:t>（财库[2020]46号）</w:t>
      </w:r>
      <w:r>
        <w:rPr>
          <w:rFonts w:hint="eastAsia" w:ascii="宋体" w:hAnsi="宋体"/>
          <w:szCs w:val="21"/>
          <w:highlight w:val="none"/>
        </w:rPr>
        <w:t>、《财政部司法部关于政府采购支持监狱企业发展有关问题的通知》(财库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68号)</w:t>
      </w:r>
      <w:r>
        <w:rPr>
          <w:rFonts w:ascii="宋体" w:hAnsi="宋体"/>
          <w:szCs w:val="21"/>
          <w:highlight w:val="none"/>
        </w:rPr>
        <w:t>和《三部门联合发布关于促进残疾人就业政府采购政策的通知》（财库〔2017〕141号）的规定，对满足价格扣除条件且在</w:t>
      </w:r>
      <w:r>
        <w:rPr>
          <w:rFonts w:hint="eastAsia" w:ascii="宋体" w:hAnsi="宋体"/>
          <w:szCs w:val="21"/>
          <w:highlight w:val="none"/>
          <w:lang w:eastAsia="zh-CN"/>
        </w:rPr>
        <w:t>磋商响应文件</w:t>
      </w:r>
      <w:r>
        <w:rPr>
          <w:rFonts w:ascii="宋体" w:hAnsi="宋体"/>
          <w:szCs w:val="21"/>
          <w:highlight w:val="none"/>
        </w:rPr>
        <w:t>中提交了《中小企业声明函》、《残疾人福利性单位声明函》</w:t>
      </w:r>
      <w:r>
        <w:rPr>
          <w:rFonts w:hint="eastAsia" w:ascii="宋体" w:hAnsi="宋体"/>
          <w:szCs w:val="21"/>
          <w:highlight w:val="none"/>
        </w:rPr>
        <w:t>或省级以上监狱管理局、戒毒管理局(含新疆生产建设兵团)出具的属于监狱企业的证明文件</w:t>
      </w:r>
      <w:r>
        <w:rPr>
          <w:rFonts w:ascii="宋体" w:hAnsi="宋体"/>
          <w:szCs w:val="21"/>
          <w:highlight w:val="none"/>
        </w:rPr>
        <w:t>的</w:t>
      </w:r>
      <w:r>
        <w:rPr>
          <w:rFonts w:hint="eastAsia" w:ascii="宋体" w:hAnsi="宋体"/>
          <w:szCs w:val="21"/>
          <w:highlight w:val="none"/>
        </w:rPr>
        <w:t>供应商，其响应报价按照磋商须知前附表中规定的标准扣除后参与评审</w:t>
      </w:r>
      <w:r>
        <w:rPr>
          <w:rFonts w:ascii="宋体" w:hAnsi="宋体"/>
          <w:szCs w:val="21"/>
          <w:highlight w:val="none"/>
        </w:rPr>
        <w:t>。对于同时属于小微企业、</w:t>
      </w:r>
      <w:r>
        <w:rPr>
          <w:rFonts w:hint="eastAsia" w:ascii="宋体" w:hAnsi="宋体"/>
          <w:szCs w:val="21"/>
          <w:highlight w:val="none"/>
        </w:rPr>
        <w:t>监狱企业或</w:t>
      </w:r>
      <w:r>
        <w:rPr>
          <w:rFonts w:ascii="宋体" w:hAnsi="宋体"/>
          <w:szCs w:val="21"/>
          <w:highlight w:val="none"/>
        </w:rPr>
        <w:t>残疾人福利性单位的，不重复进行</w:t>
      </w:r>
      <w:r>
        <w:rPr>
          <w:rFonts w:hint="eastAsia" w:ascii="宋体" w:hAnsi="宋体"/>
          <w:szCs w:val="21"/>
          <w:highlight w:val="none"/>
        </w:rPr>
        <w:t>响应</w:t>
      </w:r>
      <w:r>
        <w:rPr>
          <w:rFonts w:ascii="宋体" w:hAnsi="宋体"/>
          <w:szCs w:val="21"/>
          <w:highlight w:val="none"/>
        </w:rPr>
        <w:t xml:space="preserve">报价扣除。 </w:t>
      </w:r>
    </w:p>
    <w:p>
      <w:pPr>
        <w:spacing w:line="384" w:lineRule="auto"/>
        <w:ind w:left="19" w:right="2" w:firstLine="420" w:firstLineChars="200"/>
        <w:rPr>
          <w:rFonts w:ascii="宋体" w:hAnsi="宋体"/>
          <w:color w:val="auto"/>
          <w:szCs w:val="21"/>
          <w:highlight w:val="none"/>
        </w:rPr>
      </w:pPr>
      <w:r>
        <w:rPr>
          <w:rFonts w:hint="eastAsia" w:ascii="宋体" w:hAnsi="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auto"/>
          <w:szCs w:val="21"/>
          <w:highlight w:val="none"/>
        </w:rPr>
        <w:t>40</w:t>
      </w:r>
      <w:r>
        <w:rPr>
          <w:rFonts w:hint="eastAsia" w:ascii="宋体" w:hAnsi="宋体"/>
          <w:color w:val="auto"/>
          <w:szCs w:val="21"/>
          <w:highlight w:val="none"/>
        </w:rPr>
        <w:t>%以上的，对联合体或者大中型企业的报价给予4%的扣除，用扣除后的价格参加评审。组成联合体或者接受分包的小微企业与联合体内其他企业、分包企业之间存在直接控股、管理关系的，不享受价格扣除优惠政策。</w:t>
      </w:r>
    </w:p>
    <w:p>
      <w:pPr>
        <w:adjustRightInd w:val="0"/>
        <w:spacing w:line="480" w:lineRule="exact"/>
        <w:ind w:left="178" w:leftChars="85" w:firstLine="420" w:firstLineChars="200"/>
        <w:textAlignment w:val="baseline"/>
        <w:rPr>
          <w:rFonts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pPr>
        <w:spacing w:line="480" w:lineRule="exact"/>
        <w:ind w:firstLine="422" w:firstLineChars="200"/>
        <w:rPr>
          <w:rFonts w:ascii="宋体"/>
          <w:b/>
          <w:bCs/>
          <w:szCs w:val="21"/>
          <w:highlight w:val="none"/>
        </w:rPr>
      </w:pPr>
      <w:r>
        <w:rPr>
          <w:rFonts w:ascii="宋体" w:hAnsi="宋体"/>
          <w:b/>
          <w:bCs/>
          <w:szCs w:val="21"/>
          <w:highlight w:val="none"/>
        </w:rPr>
        <w:t>25.4</w:t>
      </w:r>
      <w:r>
        <w:rPr>
          <w:rFonts w:hint="eastAsia" w:ascii="宋体" w:hAnsi="宋体"/>
          <w:b/>
          <w:bCs/>
          <w:szCs w:val="21"/>
          <w:highlight w:val="none"/>
        </w:rPr>
        <w:t>综合评审</w:t>
      </w:r>
    </w:p>
    <w:p>
      <w:pPr>
        <w:spacing w:line="480" w:lineRule="exact"/>
        <w:ind w:firstLine="420" w:firstLineChars="200"/>
        <w:rPr>
          <w:rFonts w:ascii="宋体"/>
          <w:szCs w:val="21"/>
          <w:highlight w:val="none"/>
          <w:lang w:val="zh-CN"/>
        </w:rPr>
      </w:pPr>
      <w:r>
        <w:rPr>
          <w:rFonts w:ascii="宋体" w:hAnsi="宋体"/>
          <w:szCs w:val="21"/>
          <w:highlight w:val="none"/>
        </w:rPr>
        <w:t xml:space="preserve"> </w:t>
      </w:r>
      <w:r>
        <w:rPr>
          <w:rFonts w:hint="eastAsia" w:ascii="宋体" w:hAnsi="宋体"/>
          <w:szCs w:val="21"/>
          <w:highlight w:val="none"/>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szCs w:val="21"/>
          <w:highlight w:val="none"/>
        </w:rPr>
      </w:pPr>
      <w:r>
        <w:rPr>
          <w:rFonts w:hint="eastAsia" w:ascii="宋体" w:hAnsi="宋体"/>
          <w:szCs w:val="21"/>
          <w:highlight w:val="none"/>
          <w:lang w:val="zh-CN"/>
        </w:rPr>
        <w:t>评审办法：综合评分法，是指响应文件满足磋商文件全部实质性要求且按评审因素的量化指标评审得分最高的供应商为成交候选供应商的评审方法。</w:t>
      </w:r>
    </w:p>
    <w:tbl>
      <w:tblPr>
        <w:tblStyle w:val="63"/>
        <w:tblpPr w:leftFromText="180" w:rightFromText="180" w:vertAnchor="text" w:horzAnchor="page" w:tblpX="1535" w:tblpY="378"/>
        <w:tblOverlap w:val="never"/>
        <w:tblW w:w="93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1621"/>
        <w:gridCol w:w="48"/>
        <w:gridCol w:w="5041"/>
        <w:gridCol w:w="1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630" w:type="dxa"/>
            <w:noWrap w:val="0"/>
            <w:vAlign w:val="center"/>
          </w:tcPr>
          <w:p>
            <w:pPr>
              <w:adjustRightInd w:val="0"/>
              <w:spacing w:line="480" w:lineRule="exact"/>
              <w:ind w:left="178" w:leftChars="85" w:firstLine="420" w:firstLineChars="200"/>
              <w:textAlignment w:val="baseline"/>
              <w:rPr>
                <w:rFonts w:hint="eastAsia" w:ascii="宋体" w:hAnsi="宋体"/>
                <w:b/>
                <w:color w:val="auto"/>
                <w:szCs w:val="21"/>
                <w:highlight w:val="none"/>
              </w:rPr>
            </w:pPr>
            <w:r>
              <w:rPr>
                <w:rFonts w:ascii="宋体" w:hAnsi="宋体"/>
                <w:szCs w:val="21"/>
              </w:rPr>
              <w:t xml:space="preserve">  </w:t>
            </w:r>
            <w:r>
              <w:rPr>
                <w:rFonts w:hint="eastAsia" w:ascii="宋体" w:hAnsi="宋体"/>
                <w:b/>
                <w:color w:val="auto"/>
                <w:szCs w:val="21"/>
                <w:highlight w:val="none"/>
              </w:rPr>
              <w:t>序号</w:t>
            </w:r>
          </w:p>
        </w:tc>
        <w:tc>
          <w:tcPr>
            <w:tcW w:w="1621" w:type="dxa"/>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评分因素</w:t>
            </w:r>
          </w:p>
        </w:tc>
        <w:tc>
          <w:tcPr>
            <w:tcW w:w="5089" w:type="dxa"/>
            <w:gridSpan w:val="2"/>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评分标准</w:t>
            </w:r>
          </w:p>
        </w:tc>
        <w:tc>
          <w:tcPr>
            <w:tcW w:w="1968" w:type="dxa"/>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630" w:type="dxa"/>
            <w:vMerge w:val="restart"/>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一</w:t>
            </w:r>
          </w:p>
        </w:tc>
        <w:tc>
          <w:tcPr>
            <w:tcW w:w="1621" w:type="dxa"/>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业绩（28分）</w:t>
            </w:r>
          </w:p>
        </w:tc>
        <w:tc>
          <w:tcPr>
            <w:tcW w:w="5089" w:type="dxa"/>
            <w:gridSpan w:val="2"/>
            <w:noWrap w:val="0"/>
            <w:vAlign w:val="center"/>
          </w:tcPr>
          <w:p>
            <w:pPr>
              <w:jc w:val="left"/>
              <w:rPr>
                <w:rFonts w:hint="eastAsia"/>
              </w:rPr>
            </w:pPr>
            <w:r>
              <w:rPr>
                <w:rFonts w:hint="eastAsia"/>
                <w:lang w:eastAsia="zh-CN"/>
              </w:rPr>
              <w:t>供应商</w:t>
            </w:r>
            <w:r>
              <w:rPr>
                <w:rFonts w:hint="eastAsia"/>
              </w:rPr>
              <w:t>业绩：自201</w:t>
            </w:r>
            <w:r>
              <w:rPr>
                <w:rFonts w:hint="eastAsia"/>
                <w:lang w:val="en-US" w:eastAsia="zh-CN"/>
              </w:rPr>
              <w:t>8</w:t>
            </w:r>
            <w:r>
              <w:rPr>
                <w:rFonts w:hint="eastAsia"/>
              </w:rPr>
              <w:t>年</w:t>
            </w:r>
            <w:r>
              <w:rPr>
                <w:rFonts w:hint="eastAsia"/>
                <w:lang w:val="en-US" w:eastAsia="zh-CN"/>
              </w:rPr>
              <w:t>1</w:t>
            </w:r>
            <w:r>
              <w:rPr>
                <w:rFonts w:hint="eastAsia"/>
              </w:rPr>
              <w:t>月1日（含）至</w:t>
            </w:r>
            <w:r>
              <w:rPr>
                <w:rFonts w:hint="eastAsia"/>
                <w:lang w:val="en-US" w:eastAsia="zh-CN"/>
              </w:rPr>
              <w:t>响应文件</w:t>
            </w:r>
            <w:r>
              <w:rPr>
                <w:rFonts w:hint="eastAsia"/>
              </w:rPr>
              <w:t>截止日（不含当日），具有</w:t>
            </w:r>
            <w:r>
              <w:rPr>
                <w:rFonts w:hint="eastAsia"/>
                <w:lang w:val="en-US" w:eastAsia="zh-CN"/>
              </w:rPr>
              <w:t>工程施工类</w:t>
            </w:r>
            <w:r>
              <w:rPr>
                <w:rFonts w:hint="eastAsia"/>
              </w:rPr>
              <w:t>业绩的，每提供1个得</w:t>
            </w:r>
            <w:r>
              <w:rPr>
                <w:rFonts w:hint="eastAsia"/>
                <w:lang w:val="en-US" w:eastAsia="zh-CN"/>
              </w:rPr>
              <w:t>14</w:t>
            </w:r>
            <w:r>
              <w:rPr>
                <w:rFonts w:hint="eastAsia"/>
              </w:rPr>
              <w:t>分，满分</w:t>
            </w:r>
            <w:r>
              <w:rPr>
                <w:rFonts w:hint="eastAsia"/>
                <w:lang w:val="en-US" w:eastAsia="zh-CN"/>
              </w:rPr>
              <w:t>28</w:t>
            </w:r>
            <w:r>
              <w:rPr>
                <w:rFonts w:hint="eastAsia"/>
              </w:rPr>
              <w:t>分。</w:t>
            </w:r>
          </w:p>
          <w:p>
            <w:pPr>
              <w:pStyle w:val="2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注：本项目业绩数量最多为二个，若磋商响应人提供的业绩超过二个的，磋商委员会只对磋商响应文件中排序前2个的业绩进行评审，其它业绩不作评审。</w:t>
            </w:r>
          </w:p>
          <w:p>
            <w:pPr>
              <w:pStyle w:val="2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b/>
                <w:bCs/>
                <w:kern w:val="2"/>
                <w:sz w:val="21"/>
                <w:lang w:val="en-US" w:eastAsia="zh-CN" w:bidi="ar-SA"/>
              </w:rPr>
              <w:t>工程施工类业绩是指房屋建筑工程施工业绩或市政公用工程施工业绩或装饰装修工程施工业绩或维修服务业绩。</w:t>
            </w:r>
          </w:p>
        </w:tc>
        <w:tc>
          <w:tcPr>
            <w:tcW w:w="1968" w:type="dxa"/>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b/>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630" w:type="dxa"/>
            <w:vMerge w:val="continue"/>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b/>
                <w:color w:val="auto"/>
                <w:szCs w:val="21"/>
                <w:highlight w:val="none"/>
                <w:lang w:val="en-US" w:eastAsia="zh-CN"/>
              </w:rPr>
            </w:pPr>
          </w:p>
        </w:tc>
        <w:tc>
          <w:tcPr>
            <w:tcW w:w="8678" w:type="dxa"/>
            <w:gridSpan w:val="4"/>
            <w:noWrap w:val="0"/>
            <w:vAlign w:val="center"/>
          </w:tcPr>
          <w:p>
            <w:pPr>
              <w:adjustRightInd w:val="0"/>
              <w:snapToGrid w:val="0"/>
              <w:spacing w:line="480" w:lineRule="auto"/>
              <w:rPr>
                <w:rFonts w:hint="eastAsia" w:ascii="宋体" w:hAnsi="宋体" w:cs="宋体"/>
                <w:bCs/>
                <w:color w:val="auto"/>
                <w:kern w:val="0"/>
                <w:szCs w:val="21"/>
                <w:highlight w:val="none"/>
                <w:u w:val="none"/>
              </w:rPr>
            </w:pPr>
            <w:r>
              <w:rPr>
                <w:rFonts w:hint="eastAsia" w:ascii="宋体" w:hAnsi="宋体" w:cs="宋体"/>
                <w:b/>
                <w:color w:val="auto"/>
                <w:kern w:val="0"/>
                <w:szCs w:val="21"/>
                <w:highlight w:val="none"/>
                <w:u w:val="none"/>
                <w:lang w:val="en-US" w:eastAsia="zh-CN"/>
              </w:rPr>
              <w:t>磋商响应</w:t>
            </w:r>
            <w:r>
              <w:rPr>
                <w:rFonts w:hint="eastAsia" w:ascii="宋体" w:hAnsi="宋体" w:cs="宋体"/>
                <w:b/>
                <w:color w:val="auto"/>
                <w:kern w:val="0"/>
                <w:szCs w:val="21"/>
                <w:highlight w:val="none"/>
                <w:u w:val="none"/>
              </w:rPr>
              <w:t>人应按下列规定提供业绩证明资料：</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color w:val="auto"/>
                <w:kern w:val="0"/>
                <w:szCs w:val="21"/>
                <w:highlight w:val="none"/>
                <w:u w:val="none"/>
              </w:rPr>
            </w:pPr>
            <w:r>
              <w:rPr>
                <w:rFonts w:hint="eastAsia" w:ascii="宋体" w:hAnsi="宋体" w:cs="宋体"/>
                <w:b/>
                <w:color w:val="auto"/>
                <w:kern w:val="0"/>
                <w:szCs w:val="21"/>
                <w:highlight w:val="none"/>
                <w:u w:val="none"/>
              </w:rPr>
              <w:t>（1）合同协议书；</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color w:val="auto"/>
                <w:kern w:val="0"/>
                <w:szCs w:val="21"/>
                <w:highlight w:val="none"/>
                <w:u w:val="none"/>
                <w:lang w:eastAsia="zh-CN"/>
              </w:rPr>
            </w:pPr>
            <w:r>
              <w:rPr>
                <w:rFonts w:hint="eastAsia" w:ascii="宋体" w:hAnsi="宋体" w:cs="宋体"/>
                <w:b/>
                <w:color w:val="auto"/>
                <w:kern w:val="0"/>
                <w:szCs w:val="21"/>
                <w:highlight w:val="none"/>
                <w:u w:val="none"/>
              </w:rPr>
              <w:t>（2）</w:t>
            </w:r>
            <w:r>
              <w:rPr>
                <w:rFonts w:hint="eastAsia" w:ascii="宋体" w:hAnsi="宋体" w:cs="宋体"/>
                <w:b/>
                <w:color w:val="auto"/>
                <w:kern w:val="0"/>
                <w:szCs w:val="21"/>
                <w:highlight w:val="none"/>
                <w:u w:val="none"/>
                <w:lang w:val="en-US" w:eastAsia="zh-CN"/>
              </w:rPr>
              <w:t>竣工验收证明材料：</w:t>
            </w:r>
            <w:r>
              <w:rPr>
                <w:rFonts w:hint="eastAsia" w:ascii="宋体" w:hAnsi="宋体" w:cs="宋体"/>
                <w:b/>
                <w:color w:val="auto"/>
                <w:kern w:val="0"/>
                <w:szCs w:val="21"/>
                <w:highlight w:val="none"/>
                <w:u w:val="none"/>
              </w:rPr>
              <w:t>竣工验收报告或竣工验收备案表或行政主管部门颁发的竣工验收证明材料</w:t>
            </w:r>
            <w:r>
              <w:rPr>
                <w:rFonts w:hint="eastAsia" w:ascii="宋体" w:hAnsi="宋体" w:cs="宋体"/>
                <w:b/>
                <w:color w:val="auto"/>
                <w:kern w:val="0"/>
                <w:szCs w:val="21"/>
                <w:highlight w:val="none"/>
                <w:u w:val="none"/>
                <w:lang w:val="en-US" w:eastAsia="zh-CN"/>
              </w:rPr>
              <w:t>或至少有建设单位、设计单位、监理单位、施工单位四方参与竣工验收并盖章的竣工验收证明材料</w:t>
            </w:r>
            <w:r>
              <w:rPr>
                <w:rFonts w:hint="eastAsia" w:ascii="宋体" w:hAnsi="宋体" w:cs="宋体"/>
                <w:b/>
                <w:color w:val="auto"/>
                <w:kern w:val="0"/>
                <w:szCs w:val="21"/>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b/>
                <w:bCs/>
                <w:color w:val="auto"/>
                <w:kern w:val="0"/>
                <w:szCs w:val="21"/>
                <w:highlight w:val="none"/>
                <w:u w:val="none"/>
              </w:rPr>
            </w:pPr>
            <w:r>
              <w:rPr>
                <w:rFonts w:hint="eastAsia" w:ascii="宋体" w:hAnsi="宋体" w:cs="宋体"/>
                <w:b/>
                <w:bCs/>
                <w:color w:val="auto"/>
                <w:kern w:val="0"/>
                <w:szCs w:val="21"/>
                <w:highlight w:val="none"/>
                <w:u w:val="none"/>
              </w:rPr>
              <w:t xml:space="preserve"> 如</w:t>
            </w:r>
            <w:r>
              <w:rPr>
                <w:rFonts w:hint="eastAsia" w:ascii="宋体" w:hAnsi="宋体" w:cs="宋体"/>
                <w:b/>
                <w:bCs/>
                <w:color w:val="auto"/>
                <w:kern w:val="0"/>
                <w:szCs w:val="21"/>
                <w:highlight w:val="none"/>
                <w:u w:val="none"/>
                <w:lang w:val="en-US" w:eastAsia="zh-CN"/>
              </w:rPr>
              <w:t>上述证明材料</w:t>
            </w:r>
            <w:r>
              <w:rPr>
                <w:rFonts w:hint="eastAsia" w:ascii="宋体" w:hAnsi="宋体" w:cs="宋体"/>
                <w:b/>
                <w:bCs/>
                <w:color w:val="auto"/>
                <w:kern w:val="0"/>
                <w:szCs w:val="21"/>
                <w:highlight w:val="none"/>
                <w:u w:val="none"/>
              </w:rPr>
              <w:t>不能有效反映业绩的技术指标，需在投标文件中提供能够证明业绩技术指标的施工图设计文件部分 。</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b/>
                <w:color w:val="auto"/>
                <w:szCs w:val="21"/>
                <w:highlight w:val="none"/>
              </w:rPr>
            </w:pPr>
            <w:r>
              <w:rPr>
                <w:rFonts w:hint="default" w:ascii="宋体" w:hAnsi="宋体" w:cs="宋体"/>
                <w:b/>
                <w:color w:val="auto"/>
                <w:kern w:val="0"/>
                <w:szCs w:val="21"/>
                <w:highlight w:val="none"/>
                <w:u w:val="none"/>
                <w:lang w:val="en-US" w:eastAsia="zh-CN"/>
              </w:rPr>
              <w:t>业绩的时间认定以</w:t>
            </w:r>
            <w:r>
              <w:rPr>
                <w:rFonts w:hint="eastAsia" w:ascii="宋体" w:hAnsi="宋体" w:cs="宋体"/>
                <w:b/>
                <w:color w:val="auto"/>
                <w:kern w:val="0"/>
                <w:szCs w:val="21"/>
                <w:highlight w:val="none"/>
                <w:u w:val="none"/>
                <w:lang w:val="en-US" w:eastAsia="zh-CN"/>
              </w:rPr>
              <w:t>竣工验收证明材料</w:t>
            </w:r>
            <w:r>
              <w:rPr>
                <w:rFonts w:hint="default" w:ascii="宋体" w:hAnsi="宋体" w:cs="宋体"/>
                <w:b/>
                <w:color w:val="auto"/>
                <w:kern w:val="0"/>
                <w:szCs w:val="21"/>
                <w:highlight w:val="none"/>
                <w:u w:val="none"/>
                <w:lang w:val="en-US" w:eastAsia="zh-CN"/>
              </w:rPr>
              <w:t>中竣工验收时间为准，若竣工验收证明材料有多个日期的，则以建设单位或监理单位签署的最后日期为准</w:t>
            </w:r>
            <w:r>
              <w:rPr>
                <w:rFonts w:hint="eastAsia" w:ascii="宋体" w:hAnsi="宋体" w:cs="宋体"/>
                <w:b/>
                <w:color w:val="auto"/>
                <w:kern w:val="0"/>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630" w:type="dxa"/>
            <w:noWrap w:val="0"/>
            <w:vAlign w:val="center"/>
          </w:tcPr>
          <w:p>
            <w:pPr>
              <w:pageBreakBefore w:val="0"/>
              <w:kinsoku/>
              <w:wordWrap/>
              <w:overflowPunct/>
              <w:topLinePunct w:val="0"/>
              <w:autoSpaceDE/>
              <w:autoSpaceDN/>
              <w:bidi w:val="0"/>
              <w:spacing w:line="400" w:lineRule="exact"/>
              <w:jc w:val="center"/>
              <w:textAlignment w:val="auto"/>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二</w:t>
            </w:r>
          </w:p>
        </w:tc>
        <w:tc>
          <w:tcPr>
            <w:tcW w:w="1669" w:type="dxa"/>
            <w:gridSpan w:val="2"/>
            <w:tcBorders>
              <w:right w:val="single" w:color="auto" w:sz="4" w:space="0"/>
            </w:tcBorders>
            <w:noWrap w:val="0"/>
            <w:vAlign w:val="center"/>
          </w:tcPr>
          <w:p>
            <w:pPr>
              <w:pageBreakBefore w:val="0"/>
              <w:kinsoku/>
              <w:wordWrap/>
              <w:overflowPunct/>
              <w:topLinePunct w:val="0"/>
              <w:autoSpaceDE/>
              <w:autoSpaceDN/>
              <w:bidi w:val="0"/>
              <w:spacing w:line="400" w:lineRule="exact"/>
              <w:jc w:val="left"/>
              <w:textAlignment w:val="auto"/>
              <w:rPr>
                <w:rFonts w:hint="eastAsia" w:ascii="宋体" w:hAnsi="宋体"/>
                <w:b/>
                <w:color w:val="auto"/>
                <w:szCs w:val="21"/>
                <w:highlight w:val="none"/>
              </w:rPr>
            </w:pPr>
            <w:r>
              <w:rPr>
                <w:rFonts w:hint="eastAsia" w:cs="宋体"/>
                <w:color w:val="auto"/>
                <w:highlight w:val="none"/>
                <w:lang w:val="en-US" w:eastAsia="zh-CN"/>
              </w:rPr>
              <w:t>质保期</w:t>
            </w:r>
            <w:r>
              <w:rPr>
                <w:rFonts w:hint="eastAsia" w:ascii="Times New Roman" w:hAnsi="Times New Roman" w:eastAsia="宋体" w:cs="宋体"/>
                <w:color w:val="auto"/>
                <w:highlight w:val="none"/>
              </w:rPr>
              <w:t>服务方案</w:t>
            </w:r>
            <w:r>
              <w:rPr>
                <w:rFonts w:hint="eastAsia" w:cs="宋体"/>
                <w:color w:val="auto"/>
                <w:highlight w:val="none"/>
                <w:lang w:eastAsia="zh-CN"/>
              </w:rPr>
              <w:t>（</w:t>
            </w:r>
            <w:r>
              <w:rPr>
                <w:rFonts w:hint="eastAsia" w:cs="宋体"/>
                <w:color w:val="auto"/>
                <w:highlight w:val="none"/>
                <w:lang w:val="en-US" w:eastAsia="zh-CN"/>
              </w:rPr>
              <w:t>10分</w:t>
            </w:r>
            <w:r>
              <w:rPr>
                <w:rFonts w:hint="eastAsia" w:cs="宋体"/>
                <w:color w:val="auto"/>
                <w:highlight w:val="none"/>
                <w:lang w:eastAsia="zh-CN"/>
              </w:rPr>
              <w:t>）</w:t>
            </w:r>
          </w:p>
        </w:tc>
        <w:tc>
          <w:tcPr>
            <w:tcW w:w="7009" w:type="dxa"/>
            <w:gridSpan w:val="2"/>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highlight w:val="none"/>
              </w:rPr>
              <w:t>根据</w:t>
            </w:r>
            <w:r>
              <w:rPr>
                <w:rFonts w:hint="eastAsia" w:cs="宋体"/>
                <w:color w:val="auto"/>
                <w:highlight w:val="none"/>
                <w:lang w:val="en-US" w:eastAsia="zh-CN"/>
              </w:rPr>
              <w:t>磋商响应</w:t>
            </w:r>
            <w:r>
              <w:rPr>
                <w:rFonts w:hint="eastAsia" w:ascii="Times New Roman" w:hAnsi="Times New Roman" w:eastAsia="宋体" w:cs="宋体"/>
                <w:color w:val="auto"/>
                <w:highlight w:val="none"/>
              </w:rPr>
              <w:t>人提供的</w:t>
            </w:r>
            <w:r>
              <w:rPr>
                <w:rFonts w:hint="eastAsia" w:cs="宋体"/>
                <w:color w:val="auto"/>
                <w:highlight w:val="none"/>
                <w:lang w:val="en-US" w:eastAsia="zh-CN"/>
              </w:rPr>
              <w:t>质保期</w:t>
            </w:r>
            <w:r>
              <w:rPr>
                <w:rFonts w:hint="eastAsia" w:ascii="Times New Roman" w:hAnsi="Times New Roman" w:eastAsia="宋体" w:cs="宋体"/>
                <w:color w:val="auto"/>
                <w:highlight w:val="none"/>
              </w:rPr>
              <w:t>服务方案由</w:t>
            </w:r>
            <w:r>
              <w:rPr>
                <w:rFonts w:hint="eastAsia" w:cs="宋体"/>
                <w:color w:val="auto"/>
                <w:highlight w:val="none"/>
                <w:lang w:val="en-US" w:eastAsia="zh-CN"/>
              </w:rPr>
              <w:t>磋商小组</w:t>
            </w:r>
            <w:r>
              <w:rPr>
                <w:rFonts w:hint="eastAsia" w:ascii="Times New Roman" w:hAnsi="Times New Roman" w:eastAsia="宋体" w:cs="宋体"/>
                <w:color w:val="auto"/>
                <w:highlight w:val="none"/>
              </w:rPr>
              <w:t>进行综合评分</w:t>
            </w:r>
            <w:r>
              <w:rPr>
                <w:rFonts w:hint="eastAsia" w:cs="宋体"/>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Times New Roman" w:hAnsi="Times New Roman" w:eastAsia="宋体" w:cs="宋体"/>
                <w:color w:val="auto"/>
                <w:highlight w:val="none"/>
              </w:rPr>
            </w:pPr>
            <w:r>
              <w:rPr>
                <w:rFonts w:hint="eastAsia" w:cs="宋体"/>
                <w:color w:val="auto"/>
                <w:highlight w:val="none"/>
                <w:lang w:val="en-US" w:eastAsia="zh-CN"/>
              </w:rPr>
              <w:t>质保期</w:t>
            </w:r>
            <w:r>
              <w:rPr>
                <w:rFonts w:hint="eastAsia" w:ascii="Times New Roman" w:hAnsi="Times New Roman" w:eastAsia="宋体" w:cs="宋体"/>
                <w:color w:val="auto"/>
                <w:highlight w:val="none"/>
              </w:rPr>
              <w:t>服务体系健全科学、保修期响应程度高</w:t>
            </w:r>
            <w:r>
              <w:rPr>
                <w:rFonts w:hint="eastAsia" w:cs="宋体"/>
                <w:color w:val="auto"/>
                <w:highlight w:val="none"/>
                <w:lang w:eastAsia="zh-CN"/>
              </w:rPr>
              <w:t>，</w:t>
            </w:r>
            <w:r>
              <w:rPr>
                <w:rFonts w:hint="eastAsia" w:ascii="Times New Roman" w:hAnsi="Times New Roman" w:eastAsia="宋体" w:cs="宋体"/>
                <w:color w:val="auto"/>
                <w:highlight w:val="none"/>
              </w:rPr>
              <w:t>应急响应及时，得</w:t>
            </w:r>
            <w:r>
              <w:rPr>
                <w:rFonts w:hint="eastAsia" w:cs="宋体"/>
                <w:color w:val="auto"/>
                <w:highlight w:val="none"/>
                <w:lang w:val="en-US" w:eastAsia="zh-CN"/>
              </w:rPr>
              <w:t>10</w:t>
            </w:r>
            <w:r>
              <w:rPr>
                <w:rFonts w:hint="eastAsia" w:ascii="Times New Roman" w:hAnsi="Times New Roman" w:eastAsia="宋体" w:cs="宋体"/>
                <w:color w:val="auto"/>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cs="宋体"/>
                <w:color w:val="auto"/>
                <w:highlight w:val="none"/>
                <w:lang w:val="en-US" w:eastAsia="zh-CN"/>
              </w:rPr>
            </w:pPr>
            <w:r>
              <w:rPr>
                <w:rFonts w:hint="eastAsia" w:cs="宋体"/>
                <w:color w:val="auto"/>
                <w:highlight w:val="none"/>
                <w:lang w:val="en-US" w:eastAsia="zh-CN"/>
              </w:rPr>
              <w:t>质保期</w:t>
            </w:r>
            <w:r>
              <w:rPr>
                <w:rFonts w:hint="eastAsia" w:ascii="Times New Roman" w:hAnsi="Times New Roman" w:eastAsia="宋体" w:cs="宋体"/>
                <w:color w:val="auto"/>
                <w:highlight w:val="none"/>
              </w:rPr>
              <w:t>服务体系较科学合理，保修期响应程度</w:t>
            </w:r>
            <w:r>
              <w:rPr>
                <w:rFonts w:hint="eastAsia" w:cs="宋体"/>
                <w:color w:val="auto"/>
                <w:highlight w:val="none"/>
                <w:lang w:val="en-US" w:eastAsia="zh-CN"/>
              </w:rPr>
              <w:t>较</w:t>
            </w:r>
            <w:r>
              <w:rPr>
                <w:rFonts w:hint="eastAsia" w:ascii="Times New Roman" w:hAnsi="Times New Roman" w:eastAsia="宋体" w:cs="宋体"/>
                <w:color w:val="auto"/>
                <w:highlight w:val="none"/>
              </w:rPr>
              <w:t>高</w:t>
            </w:r>
            <w:r>
              <w:rPr>
                <w:rFonts w:hint="eastAsia" w:cs="宋体"/>
                <w:color w:val="auto"/>
                <w:highlight w:val="none"/>
                <w:lang w:eastAsia="zh-CN"/>
              </w:rPr>
              <w:t>，</w:t>
            </w:r>
            <w:r>
              <w:rPr>
                <w:rFonts w:hint="eastAsia" w:ascii="Times New Roman" w:hAnsi="Times New Roman" w:eastAsia="宋体" w:cs="宋体"/>
                <w:color w:val="auto"/>
                <w:highlight w:val="none"/>
              </w:rPr>
              <w:t>应急响应</w:t>
            </w:r>
            <w:r>
              <w:rPr>
                <w:rFonts w:hint="eastAsia" w:cs="宋体"/>
                <w:color w:val="auto"/>
                <w:highlight w:val="none"/>
                <w:lang w:val="en-US" w:eastAsia="zh-CN"/>
              </w:rPr>
              <w:t>较</w:t>
            </w:r>
            <w:r>
              <w:rPr>
                <w:rFonts w:hint="eastAsia" w:ascii="Times New Roman" w:hAnsi="Times New Roman" w:eastAsia="宋体" w:cs="宋体"/>
                <w:color w:val="auto"/>
                <w:highlight w:val="none"/>
              </w:rPr>
              <w:t>及时，</w:t>
            </w:r>
            <w:r>
              <w:rPr>
                <w:rFonts w:hint="eastAsia" w:cs="宋体"/>
                <w:color w:val="auto"/>
                <w:highlight w:val="none"/>
                <w:lang w:val="en-US" w:eastAsia="zh-CN"/>
              </w:rPr>
              <w:t>得8分；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cs="宋体"/>
                <w:color w:val="auto"/>
                <w:highlight w:val="none"/>
                <w:lang w:val="en-US" w:eastAsia="zh-CN"/>
              </w:rPr>
            </w:pPr>
            <w:r>
              <w:rPr>
                <w:rFonts w:hint="eastAsia" w:cs="宋体"/>
                <w:color w:val="auto"/>
                <w:highlight w:val="none"/>
                <w:lang w:val="en-US" w:eastAsia="zh-CN"/>
              </w:rPr>
              <w:t>质保期</w:t>
            </w:r>
            <w:r>
              <w:rPr>
                <w:rFonts w:hint="eastAsia" w:ascii="Times New Roman" w:hAnsi="Times New Roman" w:eastAsia="宋体" w:cs="宋体"/>
                <w:color w:val="auto"/>
                <w:highlight w:val="none"/>
              </w:rPr>
              <w:t>服务方案一般，保修期响应程度</w:t>
            </w:r>
            <w:r>
              <w:rPr>
                <w:rFonts w:hint="eastAsia" w:cs="宋体"/>
                <w:color w:val="auto"/>
                <w:highlight w:val="none"/>
                <w:lang w:val="en-US" w:eastAsia="zh-CN"/>
              </w:rPr>
              <w:t>不</w:t>
            </w:r>
            <w:r>
              <w:rPr>
                <w:rFonts w:hint="eastAsia" w:ascii="Times New Roman" w:hAnsi="Times New Roman" w:eastAsia="宋体" w:cs="宋体"/>
                <w:color w:val="auto"/>
                <w:highlight w:val="none"/>
              </w:rPr>
              <w:t>高</w:t>
            </w:r>
            <w:r>
              <w:rPr>
                <w:rFonts w:hint="eastAsia" w:cs="宋体"/>
                <w:color w:val="auto"/>
                <w:highlight w:val="none"/>
                <w:lang w:eastAsia="zh-CN"/>
              </w:rPr>
              <w:t>，</w:t>
            </w:r>
            <w:r>
              <w:rPr>
                <w:rFonts w:hint="eastAsia" w:ascii="Times New Roman" w:hAnsi="Times New Roman" w:eastAsia="宋体" w:cs="宋体"/>
                <w:color w:val="auto"/>
                <w:highlight w:val="none"/>
              </w:rPr>
              <w:t>应急响应</w:t>
            </w:r>
            <w:r>
              <w:rPr>
                <w:rFonts w:hint="eastAsia" w:cs="宋体"/>
                <w:color w:val="auto"/>
                <w:highlight w:val="none"/>
                <w:lang w:val="en-US" w:eastAsia="zh-CN"/>
              </w:rPr>
              <w:t>不</w:t>
            </w:r>
            <w:r>
              <w:rPr>
                <w:rFonts w:hint="eastAsia" w:ascii="Times New Roman" w:hAnsi="Times New Roman" w:eastAsia="宋体" w:cs="宋体"/>
                <w:color w:val="auto"/>
                <w:highlight w:val="none"/>
              </w:rPr>
              <w:t>及</w:t>
            </w:r>
            <w:r>
              <w:rPr>
                <w:rFonts w:hint="eastAsia" w:cs="宋体"/>
                <w:color w:val="auto"/>
                <w:highlight w:val="none"/>
                <w:lang w:val="en-US" w:eastAsia="zh-CN"/>
              </w:rPr>
              <w:t>时，得6分；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b/>
                <w:color w:val="auto"/>
                <w:szCs w:val="21"/>
                <w:highlight w:val="none"/>
              </w:rPr>
            </w:pPr>
            <w:r>
              <w:rPr>
                <w:rFonts w:hint="eastAsia" w:cs="宋体"/>
                <w:color w:val="auto"/>
                <w:highlight w:val="none"/>
                <w:lang w:val="en-US" w:eastAsia="zh-CN"/>
              </w:rPr>
              <w:t>没有质保期服务方案的</w:t>
            </w:r>
            <w:r>
              <w:rPr>
                <w:rFonts w:hint="eastAsia" w:ascii="Times New Roman" w:hAnsi="Times New Roman" w:eastAsia="宋体" w:cs="宋体"/>
                <w:color w:val="auto"/>
                <w:highlight w:val="none"/>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630" w:type="dxa"/>
            <w:tcBorders>
              <w:top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三</w:t>
            </w:r>
          </w:p>
        </w:tc>
        <w:tc>
          <w:tcPr>
            <w:tcW w:w="6710" w:type="dxa"/>
            <w:gridSpan w:val="3"/>
            <w:tcBorders>
              <w:top w:val="single" w:color="auto" w:sz="4" w:space="0"/>
            </w:tcBorders>
            <w:noWrap w:val="0"/>
            <w:vAlign w:val="center"/>
          </w:tcPr>
          <w:p>
            <w:pPr>
              <w:pageBreakBefore w:val="0"/>
              <w:kinsoku/>
              <w:wordWrap/>
              <w:overflowPunct/>
              <w:topLinePunct w:val="0"/>
              <w:autoSpaceDE/>
              <w:autoSpaceDN/>
              <w:bidi w:val="0"/>
              <w:spacing w:line="400" w:lineRule="exact"/>
              <w:textAlignment w:val="auto"/>
              <w:rPr>
                <w:rFonts w:hint="eastAsia" w:cs="宋体"/>
                <w:color w:val="auto"/>
                <w:szCs w:val="21"/>
                <w:highlight w:val="none"/>
              </w:rPr>
            </w:pPr>
            <w:r>
              <w:rPr>
                <w:rFonts w:hint="eastAsia" w:hAnsi="宋体"/>
                <w:b/>
                <w:color w:val="auto"/>
                <w:szCs w:val="21"/>
                <w:highlight w:val="none"/>
              </w:rPr>
              <w:t>施工组织设计</w:t>
            </w:r>
            <w:r>
              <w:rPr>
                <w:rFonts w:hint="eastAsia" w:ascii="宋体" w:hAnsi="宋体"/>
                <w:b/>
                <w:color w:val="auto"/>
                <w:szCs w:val="21"/>
                <w:highlight w:val="none"/>
              </w:rPr>
              <w:t>（</w:t>
            </w:r>
            <w:r>
              <w:rPr>
                <w:rFonts w:hint="eastAsia" w:ascii="宋体" w:hAnsi="宋体"/>
                <w:b/>
                <w:color w:val="auto"/>
                <w:szCs w:val="21"/>
                <w:highlight w:val="none"/>
                <w:u w:val="single"/>
                <w:lang w:val="en-US" w:eastAsia="zh-CN"/>
              </w:rPr>
              <w:t>40</w:t>
            </w:r>
            <w:r>
              <w:rPr>
                <w:rFonts w:hint="eastAsia" w:ascii="宋体" w:hAnsi="宋体"/>
                <w:b/>
                <w:color w:val="auto"/>
                <w:szCs w:val="21"/>
                <w:highlight w:val="none"/>
              </w:rPr>
              <w:t>分）</w:t>
            </w:r>
          </w:p>
        </w:tc>
        <w:tc>
          <w:tcPr>
            <w:tcW w:w="1968" w:type="dxa"/>
            <w:tcBorders>
              <w:top w:val="single" w:color="auto" w:sz="4" w:space="0"/>
            </w:tcBorders>
            <w:noWrap w:val="0"/>
            <w:vAlign w:val="top"/>
          </w:tcPr>
          <w:p>
            <w:pPr>
              <w:pageBreakBefore w:val="0"/>
              <w:kinsoku/>
              <w:wordWrap/>
              <w:overflowPunct/>
              <w:topLinePunct w:val="0"/>
              <w:autoSpaceDE/>
              <w:autoSpaceDN/>
              <w:bidi w:val="0"/>
              <w:spacing w:line="400" w:lineRule="exact"/>
              <w:textAlignment w:val="auto"/>
              <w:rPr>
                <w:rFonts w:hint="eastAsia"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Ansi="宋体"/>
                <w:b/>
                <w:bCs/>
                <w:color w:val="auto"/>
                <w:szCs w:val="21"/>
                <w:highlight w:val="none"/>
              </w:rPr>
            </w:pPr>
            <w:r>
              <w:rPr>
                <w:rFonts w:hint="eastAsia" w:hAnsi="宋体"/>
                <w:b/>
                <w:bCs/>
                <w:color w:val="auto"/>
                <w:szCs w:val="21"/>
                <w:highlight w:val="none"/>
              </w:rPr>
              <w:t>1</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eastAsia="宋体"/>
                <w:b/>
                <w:bCs/>
                <w:color w:val="auto"/>
                <w:szCs w:val="21"/>
                <w:highlight w:val="none"/>
                <w:lang w:eastAsia="zh-CN"/>
              </w:rPr>
            </w:pPr>
            <w:r>
              <w:rPr>
                <w:rFonts w:hint="eastAsia" w:hAnsi="宋体"/>
                <w:b/>
                <w:bCs/>
                <w:color w:val="auto"/>
                <w:szCs w:val="21"/>
                <w:highlight w:val="none"/>
              </w:rPr>
              <w:t>主要施工方法</w:t>
            </w:r>
            <w:r>
              <w:rPr>
                <w:rFonts w:hint="eastAsia" w:hAnsi="宋体"/>
                <w:b/>
                <w:bCs/>
                <w:color w:val="auto"/>
                <w:szCs w:val="21"/>
                <w:highlight w:val="none"/>
                <w:lang w:eastAsia="zh-CN"/>
              </w:rPr>
              <w:t>（</w:t>
            </w:r>
            <w:r>
              <w:rPr>
                <w:rFonts w:hint="eastAsia" w:hAnsi="宋体"/>
                <w:b/>
                <w:bCs/>
                <w:color w:val="auto"/>
                <w:szCs w:val="21"/>
                <w:highlight w:val="none"/>
                <w:u w:val="single"/>
                <w:lang w:val="en-US" w:eastAsia="zh-CN"/>
              </w:rPr>
              <w:t>4</w:t>
            </w:r>
            <w:r>
              <w:rPr>
                <w:rFonts w:hint="eastAsia" w:hAnsi="宋体"/>
                <w:b/>
                <w:bCs/>
                <w:color w:val="auto"/>
                <w:szCs w:val="21"/>
                <w:highlight w:val="none"/>
                <w:lang w:val="en-US" w:eastAsia="zh-CN"/>
              </w:rPr>
              <w:t>分</w:t>
            </w:r>
            <w:r>
              <w:rPr>
                <w:rFonts w:hint="eastAsia" w:hAnsi="宋体"/>
                <w:b/>
                <w:bCs/>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cs="宋体"/>
                <w:color w:val="auto"/>
                <w:szCs w:val="21"/>
                <w:highlight w:val="none"/>
              </w:rPr>
            </w:pPr>
            <w:r>
              <w:rPr>
                <w:rFonts w:hint="eastAsia" w:hAnsi="宋体" w:cs="宋体"/>
                <w:color w:val="auto"/>
                <w:szCs w:val="21"/>
                <w:highlight w:val="none"/>
              </w:rPr>
              <w:t>各主要分部施工方法符合项目实际，须有详尽的施工技术方案，工艺先进、方法科学合理、可行，能指导具体施工并确保安全。优的得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Ansi="宋体"/>
                <w:b/>
                <w:bCs/>
                <w:color w:val="auto"/>
                <w:szCs w:val="21"/>
                <w:highlight w:val="none"/>
              </w:rPr>
            </w:pPr>
            <w:r>
              <w:rPr>
                <w:rFonts w:hint="eastAsia" w:hAnsi="宋体"/>
                <w:b/>
                <w:bCs/>
                <w:color w:val="auto"/>
                <w:szCs w:val="21"/>
                <w:highlight w:val="none"/>
              </w:rPr>
              <w:t>2</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eastAsia="宋体"/>
                <w:b/>
                <w:bCs/>
                <w:color w:val="auto"/>
                <w:szCs w:val="21"/>
                <w:highlight w:val="none"/>
                <w:lang w:eastAsia="zh-CN"/>
              </w:rPr>
            </w:pPr>
            <w:r>
              <w:rPr>
                <w:rFonts w:hAnsi="宋体"/>
                <w:b/>
                <w:color w:val="auto"/>
                <w:szCs w:val="21"/>
                <w:highlight w:val="none"/>
              </w:rPr>
              <w:t>拟投入的主要物资计划</w:t>
            </w:r>
            <w:r>
              <w:rPr>
                <w:rFonts w:hint="eastAsia" w:hAnsi="宋体"/>
                <w:b/>
                <w:bCs/>
                <w:color w:val="auto"/>
                <w:szCs w:val="21"/>
                <w:highlight w:val="none"/>
                <w:lang w:eastAsia="zh-CN"/>
              </w:rPr>
              <w:t>（</w:t>
            </w:r>
            <w:r>
              <w:rPr>
                <w:rFonts w:hint="eastAsia" w:hAnsi="宋体"/>
                <w:b/>
                <w:bCs/>
                <w:color w:val="auto"/>
                <w:szCs w:val="21"/>
                <w:highlight w:val="none"/>
                <w:lang w:val="en-US" w:eastAsia="zh-CN"/>
              </w:rPr>
              <w:t>4分</w:t>
            </w:r>
            <w:r>
              <w:rPr>
                <w:rFonts w:hint="eastAsia" w:hAnsi="宋体"/>
                <w:b/>
                <w:bCs/>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cs="宋体"/>
                <w:color w:val="auto"/>
                <w:szCs w:val="21"/>
                <w:highlight w:val="none"/>
              </w:rPr>
            </w:pPr>
            <w:r>
              <w:rPr>
                <w:rFonts w:hAnsi="宋体"/>
                <w:bCs/>
                <w:color w:val="auto"/>
                <w:szCs w:val="21"/>
                <w:highlight w:val="none"/>
              </w:rPr>
              <w:t>投入的</w:t>
            </w:r>
            <w:r>
              <w:rPr>
                <w:rFonts w:hint="eastAsia" w:hAnsi="宋体"/>
                <w:bCs/>
                <w:color w:val="auto"/>
                <w:szCs w:val="21"/>
                <w:highlight w:val="none"/>
              </w:rPr>
              <w:t>施工材料</w:t>
            </w:r>
            <w:r>
              <w:rPr>
                <w:rFonts w:hint="eastAsia" w:hAnsi="宋体"/>
                <w:bCs/>
                <w:color w:val="auto"/>
                <w:szCs w:val="21"/>
                <w:highlight w:val="none"/>
                <w:lang w:val="en-US" w:eastAsia="zh-CN"/>
              </w:rPr>
              <w:t>等主要物资</w:t>
            </w:r>
            <w:r>
              <w:rPr>
                <w:rFonts w:hAnsi="宋体"/>
                <w:bCs/>
                <w:color w:val="auto"/>
                <w:szCs w:val="21"/>
                <w:highlight w:val="none"/>
              </w:rPr>
              <w:t>有详细计划且计划周密，</w:t>
            </w:r>
            <w:r>
              <w:rPr>
                <w:rFonts w:hint="eastAsia" w:hAnsi="宋体"/>
                <w:bCs/>
                <w:color w:val="auto"/>
                <w:szCs w:val="21"/>
                <w:highlight w:val="none"/>
                <w:lang w:val="en-US" w:eastAsia="zh-CN"/>
              </w:rPr>
              <w:t>物资</w:t>
            </w:r>
            <w:r>
              <w:rPr>
                <w:rFonts w:hAnsi="宋体"/>
                <w:bCs/>
                <w:color w:val="auto"/>
                <w:szCs w:val="21"/>
                <w:highlight w:val="none"/>
              </w:rPr>
              <w:t>数量、选型配置、进场数量、时间安排合理，满足施工需要。</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bCs/>
                <w:color w:val="auto"/>
                <w:szCs w:val="21"/>
                <w:highlight w:val="none"/>
                <w:lang w:val="en-US" w:eastAsia="zh-CN"/>
              </w:rPr>
            </w:pPr>
            <w:r>
              <w:rPr>
                <w:rFonts w:hint="eastAsia" w:hAnsi="宋体"/>
                <w:b/>
                <w:bCs/>
                <w:color w:val="auto"/>
                <w:szCs w:val="21"/>
                <w:highlight w:val="none"/>
                <w:lang w:val="en-US" w:eastAsia="zh-CN"/>
              </w:rPr>
              <w:t>3</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b/>
                <w:color w:val="auto"/>
                <w:szCs w:val="21"/>
                <w:highlight w:val="none"/>
              </w:rPr>
            </w:pPr>
            <w:r>
              <w:rPr>
                <w:rFonts w:hint="eastAsia" w:hAnsi="宋体"/>
                <w:b/>
                <w:color w:val="auto"/>
                <w:szCs w:val="21"/>
                <w:highlight w:val="none"/>
                <w:lang w:val="en-US" w:eastAsia="zh-CN"/>
              </w:rPr>
              <w:t>拟投入的</w:t>
            </w:r>
            <w:r>
              <w:rPr>
                <w:rFonts w:hint="eastAsia" w:hAnsi="宋体"/>
                <w:b/>
                <w:color w:val="auto"/>
                <w:szCs w:val="21"/>
                <w:highlight w:val="none"/>
                <w:lang w:eastAsia="zh-CN"/>
              </w:rPr>
              <w:t>主要施工机械、设备计划</w:t>
            </w:r>
            <w:r>
              <w:rPr>
                <w:rFonts w:hint="eastAsia" w:hAnsi="宋体"/>
                <w:b/>
                <w:bCs/>
                <w:color w:val="auto"/>
                <w:szCs w:val="21"/>
                <w:highlight w:val="none"/>
                <w:lang w:eastAsia="zh-CN"/>
              </w:rPr>
              <w:t>（</w:t>
            </w:r>
            <w:r>
              <w:rPr>
                <w:rFonts w:hint="eastAsia" w:hAnsi="宋体"/>
                <w:b/>
                <w:bCs/>
                <w:color w:val="auto"/>
                <w:szCs w:val="21"/>
                <w:highlight w:val="none"/>
                <w:lang w:val="en-US" w:eastAsia="zh-CN"/>
              </w:rPr>
              <w:t>4分</w:t>
            </w:r>
            <w:r>
              <w:rPr>
                <w:rFonts w:hint="eastAsia" w:hAnsi="宋体"/>
                <w:b/>
                <w:bCs/>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bCs/>
                <w:color w:val="auto"/>
                <w:szCs w:val="21"/>
                <w:highlight w:val="none"/>
              </w:rPr>
            </w:pPr>
            <w:r>
              <w:rPr>
                <w:rFonts w:hAnsi="宋体"/>
                <w:bCs/>
                <w:color w:val="auto"/>
                <w:szCs w:val="21"/>
                <w:highlight w:val="none"/>
              </w:rPr>
              <w:t>投入的施工机械、设备、机具有详细计划且计划周密，设备数量、选型配置、进场数量、时间安排合理，满足施工需要。</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bCs/>
                <w:color w:val="auto"/>
                <w:szCs w:val="21"/>
                <w:highlight w:val="none"/>
                <w:lang w:eastAsia="zh-CN"/>
              </w:rPr>
            </w:pPr>
            <w:r>
              <w:rPr>
                <w:rFonts w:hint="eastAsia" w:hAnsi="宋体"/>
                <w:b/>
                <w:bCs/>
                <w:color w:val="auto"/>
                <w:szCs w:val="21"/>
                <w:highlight w:val="none"/>
                <w:lang w:val="en-US" w:eastAsia="zh-CN"/>
              </w:rPr>
              <w:t>4</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b/>
                <w:bCs/>
                <w:color w:val="auto"/>
                <w:szCs w:val="21"/>
                <w:highlight w:val="none"/>
              </w:rPr>
            </w:pPr>
            <w:r>
              <w:rPr>
                <w:rFonts w:hint="eastAsia" w:hAnsi="宋体"/>
                <w:b/>
                <w:bCs/>
                <w:color w:val="auto"/>
                <w:szCs w:val="21"/>
                <w:highlight w:val="none"/>
                <w:lang w:eastAsia="zh-CN"/>
              </w:rPr>
              <w:t>劳动力安排计划及劳动力计划表（</w:t>
            </w:r>
            <w:r>
              <w:rPr>
                <w:rFonts w:hint="eastAsia" w:hAnsi="宋体"/>
                <w:b/>
                <w:bCs/>
                <w:color w:val="auto"/>
                <w:szCs w:val="21"/>
                <w:highlight w:val="none"/>
                <w:lang w:val="en-US" w:eastAsia="zh-CN"/>
              </w:rPr>
              <w:t>4分</w:t>
            </w:r>
            <w:r>
              <w:rPr>
                <w:rFonts w:hint="eastAsia" w:hAnsi="宋体"/>
                <w:b/>
                <w:bCs/>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cs="宋体"/>
                <w:color w:val="auto"/>
                <w:szCs w:val="21"/>
                <w:highlight w:val="none"/>
              </w:rPr>
            </w:pPr>
            <w:r>
              <w:rPr>
                <w:rFonts w:hAnsi="宋体"/>
                <w:bCs/>
                <w:color w:val="auto"/>
                <w:szCs w:val="21"/>
                <w:highlight w:val="none"/>
              </w:rPr>
              <w:t>各主要施工工序应有详细周密的劳动力安排计划明细，有各工种劳动力安排计划，劳动力投入经济合理，满足施工需要</w:t>
            </w:r>
            <w:r>
              <w:rPr>
                <w:rFonts w:hint="eastAsia" w:hAnsi="宋体"/>
                <w:bCs/>
                <w:color w:val="auto"/>
                <w:szCs w:val="21"/>
                <w:highlight w:val="none"/>
              </w:rPr>
              <w:t>。</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bCs/>
                <w:color w:val="auto"/>
                <w:szCs w:val="21"/>
                <w:highlight w:val="none"/>
                <w:lang w:eastAsia="zh-CN"/>
              </w:rPr>
            </w:pPr>
            <w:r>
              <w:rPr>
                <w:rFonts w:hint="eastAsia" w:hAnsi="宋体"/>
                <w:b/>
                <w:bCs/>
                <w:color w:val="auto"/>
                <w:szCs w:val="21"/>
                <w:highlight w:val="none"/>
                <w:lang w:val="en-US" w:eastAsia="zh-CN"/>
              </w:rPr>
              <w:t>5</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b/>
                <w:bCs/>
                <w:color w:val="auto"/>
                <w:szCs w:val="21"/>
                <w:highlight w:val="none"/>
              </w:rPr>
            </w:pPr>
            <w:r>
              <w:rPr>
                <w:rFonts w:hAnsi="宋体"/>
                <w:b/>
                <w:color w:val="auto"/>
                <w:szCs w:val="21"/>
                <w:highlight w:val="none"/>
              </w:rPr>
              <w:t>确保工程质量的技术组织措施</w:t>
            </w:r>
            <w:r>
              <w:rPr>
                <w:rFonts w:hint="eastAsia" w:hAnsi="宋体"/>
                <w:b/>
                <w:bCs/>
                <w:color w:val="auto"/>
                <w:szCs w:val="21"/>
                <w:highlight w:val="none"/>
                <w:lang w:eastAsia="zh-CN"/>
              </w:rPr>
              <w:t>（</w:t>
            </w:r>
            <w:r>
              <w:rPr>
                <w:rFonts w:hint="eastAsia" w:hAnsi="宋体"/>
                <w:b/>
                <w:bCs/>
                <w:color w:val="auto"/>
                <w:szCs w:val="21"/>
                <w:highlight w:val="none"/>
                <w:lang w:val="en-US" w:eastAsia="zh-CN"/>
              </w:rPr>
              <w:t>4分</w:t>
            </w:r>
            <w:r>
              <w:rPr>
                <w:rFonts w:hint="eastAsia" w:hAnsi="宋体"/>
                <w:b/>
                <w:bCs/>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right="-38"/>
              <w:textAlignment w:val="auto"/>
              <w:rPr>
                <w:rFonts w:hAnsi="宋体" w:cs="宋体"/>
                <w:color w:val="auto"/>
                <w:szCs w:val="21"/>
                <w:highlight w:val="none"/>
              </w:rPr>
            </w:pPr>
            <w:r>
              <w:rPr>
                <w:rFonts w:hint="eastAsia" w:hAnsi="宋体" w:cs="宋体"/>
                <w:color w:val="auto"/>
                <w:szCs w:val="21"/>
                <w:highlight w:val="none"/>
              </w:rPr>
              <w:t>施工项目应有专门的质量技术管理班子和制度，且人员配备合理，制度健全。主要工序应有质量技术保证措施和手段，自控体系完整，能有效保证技术质量，达到承诺的质量标准。优的得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bCs/>
                <w:color w:val="auto"/>
                <w:szCs w:val="21"/>
                <w:highlight w:val="none"/>
                <w:lang w:eastAsia="zh-CN"/>
              </w:rPr>
            </w:pPr>
            <w:r>
              <w:rPr>
                <w:rFonts w:hint="eastAsia" w:hAnsi="宋体"/>
                <w:b/>
                <w:bCs/>
                <w:color w:val="auto"/>
                <w:szCs w:val="21"/>
                <w:highlight w:val="none"/>
                <w:lang w:val="en-US" w:eastAsia="zh-CN"/>
              </w:rPr>
              <w:t>6</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right="-38"/>
              <w:textAlignment w:val="auto"/>
              <w:rPr>
                <w:rFonts w:hAnsi="宋体"/>
                <w:b/>
                <w:bCs/>
                <w:color w:val="auto"/>
                <w:szCs w:val="21"/>
                <w:highlight w:val="none"/>
              </w:rPr>
            </w:pPr>
            <w:r>
              <w:rPr>
                <w:rFonts w:hAnsi="宋体"/>
                <w:b/>
                <w:color w:val="auto"/>
                <w:szCs w:val="21"/>
                <w:highlight w:val="none"/>
              </w:rPr>
              <w:t>确保安全生产的技术组织措施</w:t>
            </w:r>
            <w:r>
              <w:rPr>
                <w:rFonts w:hint="eastAsia" w:hAnsi="宋体"/>
                <w:b/>
                <w:bCs/>
                <w:color w:val="auto"/>
                <w:szCs w:val="21"/>
                <w:highlight w:val="none"/>
                <w:lang w:eastAsia="zh-CN"/>
              </w:rPr>
              <w:t>（</w:t>
            </w:r>
            <w:r>
              <w:rPr>
                <w:rFonts w:hint="eastAsia" w:hAnsi="宋体"/>
                <w:b/>
                <w:bCs/>
                <w:color w:val="auto"/>
                <w:szCs w:val="21"/>
                <w:highlight w:val="none"/>
                <w:lang w:val="en-US" w:eastAsia="zh-CN"/>
              </w:rPr>
              <w:t>4分</w:t>
            </w:r>
            <w:r>
              <w:rPr>
                <w:rFonts w:hint="eastAsia" w:hAnsi="宋体"/>
                <w:b/>
                <w:bCs/>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cs="宋体"/>
                <w:color w:val="auto"/>
                <w:szCs w:val="21"/>
                <w:highlight w:val="none"/>
              </w:rPr>
            </w:pPr>
            <w:r>
              <w:rPr>
                <w:rFonts w:hAnsi="宋体"/>
                <w:bCs/>
                <w:color w:val="auto"/>
                <w:szCs w:val="21"/>
                <w:highlight w:val="none"/>
              </w:rPr>
              <w:t>施工项目应有专门的安全管理人员和制度，且人员配备合理，制度健全，各道工序安全技术措施针对性强，符合实际且满足有关安全技术标准要求。现场防火、社会治安安全措施得力。</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color w:val="auto"/>
                <w:szCs w:val="21"/>
                <w:highlight w:val="none"/>
                <w:lang w:eastAsia="zh-CN"/>
              </w:rPr>
            </w:pPr>
            <w:r>
              <w:rPr>
                <w:rFonts w:hint="eastAsia" w:hAnsi="宋体"/>
                <w:b/>
                <w:color w:val="auto"/>
                <w:szCs w:val="21"/>
                <w:highlight w:val="none"/>
                <w:lang w:val="en-US" w:eastAsia="zh-CN"/>
              </w:rPr>
              <w:t>7</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eastAsia="宋体"/>
                <w:b/>
                <w:color w:val="auto"/>
                <w:szCs w:val="21"/>
                <w:highlight w:val="none"/>
                <w:lang w:eastAsia="zh-CN"/>
              </w:rPr>
            </w:pPr>
            <w:r>
              <w:rPr>
                <w:rFonts w:hAnsi="宋体"/>
                <w:b/>
                <w:color w:val="auto"/>
                <w:szCs w:val="21"/>
                <w:highlight w:val="none"/>
              </w:rPr>
              <w:t>确保工期的技术组织措施</w:t>
            </w:r>
            <w:r>
              <w:rPr>
                <w:rFonts w:hint="eastAsia" w:hAnsi="宋体"/>
                <w:b/>
                <w:color w:val="auto"/>
                <w:szCs w:val="21"/>
                <w:highlight w:val="none"/>
                <w:lang w:eastAsia="zh-CN"/>
              </w:rPr>
              <w:t>（</w:t>
            </w:r>
            <w:r>
              <w:rPr>
                <w:rFonts w:hint="eastAsia" w:hAnsi="宋体"/>
                <w:b/>
                <w:color w:val="auto"/>
                <w:szCs w:val="21"/>
                <w:highlight w:val="none"/>
                <w:lang w:val="en-US" w:eastAsia="zh-CN"/>
              </w:rPr>
              <w:t>4分</w:t>
            </w:r>
            <w:r>
              <w:rPr>
                <w:rFonts w:hint="eastAsia" w:hAnsi="宋体"/>
                <w:b/>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Ansi="宋体" w:cs="宋体"/>
                <w:color w:val="auto"/>
                <w:szCs w:val="21"/>
                <w:highlight w:val="none"/>
              </w:rPr>
            </w:pPr>
            <w:r>
              <w:rPr>
                <w:rFonts w:hAnsi="宋体"/>
                <w:bCs/>
                <w:color w:val="auto"/>
                <w:szCs w:val="21"/>
                <w:highlight w:val="none"/>
              </w:rPr>
              <w:t>在施工工艺、施工方法、材料选用、劳动力安排、技术等方面有保证工期的具体措施且措施得当</w:t>
            </w:r>
            <w:r>
              <w:rPr>
                <w:rFonts w:hint="eastAsia" w:hAnsi="宋体"/>
                <w:bCs/>
                <w:color w:val="auto"/>
                <w:szCs w:val="21"/>
                <w:highlight w:val="none"/>
                <w:lang w:eastAsia="zh-CN"/>
              </w:rPr>
              <w:t>；</w:t>
            </w:r>
            <w:r>
              <w:rPr>
                <w:rFonts w:hAnsi="宋体"/>
                <w:bCs/>
                <w:color w:val="auto"/>
                <w:szCs w:val="21"/>
                <w:highlight w:val="none"/>
              </w:rPr>
              <w:t>有控制工期的施工进度计划</w:t>
            </w:r>
            <w:r>
              <w:rPr>
                <w:rFonts w:hint="eastAsia" w:hAnsi="宋体"/>
                <w:bCs/>
                <w:color w:val="auto"/>
                <w:szCs w:val="21"/>
                <w:highlight w:val="none"/>
                <w:lang w:eastAsia="zh-CN"/>
              </w:rPr>
              <w:t>；</w:t>
            </w:r>
            <w:r>
              <w:rPr>
                <w:rFonts w:hAnsi="宋体"/>
                <w:bCs/>
                <w:color w:val="auto"/>
                <w:szCs w:val="21"/>
                <w:highlight w:val="none"/>
              </w:rPr>
              <w:t>应有施工总进度表或施工网络图，各项计划图表编制完善，安排科学合理，符合本项目施工实际要求。</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color w:val="auto"/>
                <w:szCs w:val="21"/>
                <w:highlight w:val="none"/>
                <w:lang w:eastAsia="zh-CN"/>
              </w:rPr>
            </w:pPr>
            <w:r>
              <w:rPr>
                <w:rFonts w:hint="eastAsia" w:hAnsi="宋体"/>
                <w:b/>
                <w:color w:val="auto"/>
                <w:szCs w:val="21"/>
                <w:highlight w:val="none"/>
                <w:lang w:val="en-US" w:eastAsia="zh-CN"/>
              </w:rPr>
              <w:t>8</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eastAsia="宋体" w:cs="宋体"/>
                <w:color w:val="auto"/>
                <w:szCs w:val="21"/>
                <w:highlight w:val="none"/>
                <w:lang w:eastAsia="zh-CN"/>
              </w:rPr>
            </w:pPr>
            <w:r>
              <w:rPr>
                <w:rFonts w:hAnsi="宋体"/>
                <w:b/>
                <w:color w:val="auto"/>
                <w:szCs w:val="21"/>
                <w:highlight w:val="none"/>
              </w:rPr>
              <w:t>确保文明施工的技术组织措施</w:t>
            </w:r>
            <w:r>
              <w:rPr>
                <w:rFonts w:hint="eastAsia" w:hAnsi="宋体"/>
                <w:b/>
                <w:color w:val="auto"/>
                <w:szCs w:val="21"/>
                <w:highlight w:val="none"/>
                <w:lang w:eastAsia="zh-CN"/>
              </w:rPr>
              <w:t>（</w:t>
            </w:r>
            <w:r>
              <w:rPr>
                <w:rFonts w:hint="eastAsia" w:hAnsi="宋体"/>
                <w:b/>
                <w:color w:val="auto"/>
                <w:szCs w:val="21"/>
                <w:highlight w:val="none"/>
                <w:lang w:val="en-US" w:eastAsia="zh-CN"/>
              </w:rPr>
              <w:t>4分</w:t>
            </w:r>
            <w:r>
              <w:rPr>
                <w:rFonts w:hint="eastAsia" w:hAnsi="宋体"/>
                <w:b/>
                <w:color w:val="auto"/>
                <w:szCs w:val="21"/>
                <w:highlight w:val="none"/>
                <w:lang w:eastAsia="zh-CN"/>
              </w:rPr>
              <w:t>）</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cs="宋体"/>
                <w:color w:val="auto"/>
                <w:szCs w:val="21"/>
                <w:highlight w:val="none"/>
              </w:rPr>
            </w:pPr>
            <w:r>
              <w:rPr>
                <w:rFonts w:hAnsi="宋体"/>
                <w:bCs/>
                <w:color w:val="auto"/>
                <w:szCs w:val="21"/>
                <w:highlight w:val="none"/>
              </w:rPr>
              <w:t>针对本工程项目特点，应有现场文明施工计划，环境保护措施，且计划措施内容应达到</w:t>
            </w:r>
            <w:r>
              <w:rPr>
                <w:bCs/>
                <w:color w:val="auto"/>
                <w:szCs w:val="21"/>
                <w:highlight w:val="none"/>
              </w:rPr>
              <w:t>“</w:t>
            </w:r>
            <w:r>
              <w:rPr>
                <w:rFonts w:hAnsi="宋体"/>
                <w:bCs/>
                <w:color w:val="auto"/>
                <w:szCs w:val="21"/>
                <w:highlight w:val="none"/>
              </w:rPr>
              <w:t>安全文明示范工地</w:t>
            </w:r>
            <w:r>
              <w:rPr>
                <w:bCs/>
                <w:color w:val="auto"/>
                <w:szCs w:val="21"/>
                <w:highlight w:val="none"/>
              </w:rPr>
              <w:t>”</w:t>
            </w:r>
            <w:r>
              <w:rPr>
                <w:rFonts w:hAnsi="宋体"/>
                <w:bCs/>
                <w:color w:val="auto"/>
                <w:szCs w:val="21"/>
                <w:highlight w:val="none"/>
              </w:rPr>
              <w:t>标准</w:t>
            </w:r>
            <w:r>
              <w:rPr>
                <w:rFonts w:hint="eastAsia" w:hAnsi="宋体"/>
                <w:bCs/>
                <w:color w:val="auto"/>
                <w:szCs w:val="21"/>
                <w:highlight w:val="none"/>
                <w:lang w:eastAsia="zh-CN"/>
              </w:rPr>
              <w:t>；</w:t>
            </w:r>
            <w:r>
              <w:rPr>
                <w:rFonts w:hAnsi="宋体"/>
                <w:bCs/>
                <w:color w:val="auto"/>
                <w:szCs w:val="21"/>
                <w:highlight w:val="none"/>
              </w:rPr>
              <w:t>各项措施周全、具体、有效</w:t>
            </w:r>
            <w:r>
              <w:rPr>
                <w:rFonts w:hint="eastAsia" w:hAnsi="宋体"/>
                <w:bCs/>
                <w:color w:val="auto"/>
                <w:szCs w:val="21"/>
                <w:highlight w:val="none"/>
                <w:lang w:eastAsia="zh-CN"/>
              </w:rPr>
              <w:t>；</w:t>
            </w:r>
            <w:r>
              <w:rPr>
                <w:rFonts w:hAnsi="宋体"/>
                <w:bCs/>
                <w:color w:val="auto"/>
                <w:szCs w:val="21"/>
                <w:highlight w:val="none"/>
              </w:rPr>
              <w:t>有具体实现现场文明施工目标的承诺。</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30"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color w:val="auto"/>
                <w:szCs w:val="21"/>
                <w:highlight w:val="none"/>
                <w:lang w:eastAsia="zh-CN"/>
              </w:rPr>
            </w:pPr>
            <w:r>
              <w:rPr>
                <w:rFonts w:hint="eastAsia" w:hAnsi="宋体"/>
                <w:b/>
                <w:color w:val="auto"/>
                <w:szCs w:val="21"/>
                <w:highlight w:val="none"/>
                <w:lang w:val="en-US" w:eastAsia="zh-CN"/>
              </w:rPr>
              <w:t>9</w:t>
            </w:r>
          </w:p>
        </w:tc>
        <w:tc>
          <w:tcPr>
            <w:tcW w:w="1621"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eastAsia="宋体"/>
                <w:b/>
                <w:color w:val="auto"/>
                <w:szCs w:val="21"/>
                <w:highlight w:val="none"/>
                <w:lang w:eastAsia="zh-CN"/>
              </w:rPr>
            </w:pPr>
            <w:r>
              <w:rPr>
                <w:rFonts w:hAnsi="宋体"/>
                <w:b/>
                <w:color w:val="auto"/>
                <w:szCs w:val="21"/>
                <w:highlight w:val="none"/>
              </w:rPr>
              <w:t>工程施工的重点和</w:t>
            </w:r>
            <w:r>
              <w:rPr>
                <w:rFonts w:hint="eastAsia" w:hAnsi="宋体"/>
                <w:b/>
                <w:color w:val="auto"/>
                <w:szCs w:val="21"/>
                <w:highlight w:val="none"/>
              </w:rPr>
              <w:t>难点及保证措施</w:t>
            </w:r>
            <w:r>
              <w:rPr>
                <w:rFonts w:hint="eastAsia" w:hAnsi="宋体"/>
                <w:b/>
                <w:color w:val="auto"/>
                <w:szCs w:val="21"/>
                <w:highlight w:val="none"/>
                <w:lang w:eastAsia="zh-CN"/>
              </w:rPr>
              <w:t>（</w:t>
            </w:r>
            <w:r>
              <w:rPr>
                <w:rFonts w:hint="eastAsia" w:hAnsi="宋体"/>
                <w:b/>
                <w:color w:val="auto"/>
                <w:szCs w:val="21"/>
                <w:highlight w:val="none"/>
                <w:lang w:val="en-US" w:eastAsia="zh-CN"/>
              </w:rPr>
              <w:t>4分</w:t>
            </w:r>
            <w:r>
              <w:rPr>
                <w:rFonts w:hint="eastAsia" w:hAnsi="宋体"/>
                <w:b/>
                <w:color w:val="auto"/>
                <w:szCs w:val="21"/>
                <w:highlight w:val="none"/>
                <w:lang w:eastAsia="zh-CN"/>
              </w:rPr>
              <w:t>）</w:t>
            </w:r>
          </w:p>
        </w:tc>
        <w:tc>
          <w:tcPr>
            <w:tcW w:w="5089" w:type="dxa"/>
            <w:gridSpan w:val="2"/>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textAlignment w:val="auto"/>
              <w:rPr>
                <w:rFonts w:hint="eastAsia" w:hAnsi="宋体" w:eastAsia="宋体" w:cs="宋体"/>
                <w:color w:val="auto"/>
                <w:szCs w:val="21"/>
                <w:highlight w:val="none"/>
                <w:lang w:eastAsia="zh-CN"/>
              </w:rPr>
            </w:pPr>
            <w:r>
              <w:rPr>
                <w:rFonts w:hAnsi="宋体"/>
                <w:bCs/>
                <w:color w:val="auto"/>
                <w:szCs w:val="21"/>
                <w:highlight w:val="none"/>
              </w:rPr>
              <w:t>针对本工程项目特点，</w:t>
            </w:r>
            <w:r>
              <w:rPr>
                <w:rFonts w:hint="eastAsia" w:ascii="宋体" w:hAnsi="宋体" w:cs="宋体"/>
                <w:bCs/>
                <w:color w:val="auto"/>
                <w:szCs w:val="21"/>
                <w:highlight w:val="none"/>
              </w:rPr>
              <w:t>应</w:t>
            </w:r>
            <w:r>
              <w:rPr>
                <w:rFonts w:hint="eastAsia" w:ascii="宋体" w:hAnsi="宋体" w:cs="宋体"/>
                <w:bCs/>
                <w:color w:val="auto"/>
                <w:szCs w:val="21"/>
                <w:highlight w:val="none"/>
                <w:lang w:val="en-US" w:eastAsia="zh-CN"/>
              </w:rPr>
              <w:t>有重点和难点</w:t>
            </w:r>
            <w:r>
              <w:rPr>
                <w:rFonts w:hint="eastAsia" w:ascii="宋体" w:hAnsi="宋体" w:cs="宋体"/>
                <w:bCs/>
                <w:color w:val="auto"/>
                <w:szCs w:val="21"/>
                <w:highlight w:val="none"/>
              </w:rPr>
              <w:t>及保证措施。</w:t>
            </w:r>
            <w:r>
              <w:rPr>
                <w:rFonts w:hint="eastAsia" w:hAnsi="宋体" w:eastAsia="宋体" w:cs="宋体"/>
                <w:b w:val="0"/>
                <w:bCs w:val="0"/>
                <w:color w:val="auto"/>
                <w:highlight w:val="none"/>
                <w:lang w:eastAsia="zh-CN"/>
              </w:rPr>
              <w:t>（如有“危大工程”和“超危大工程”，则须补充完善“危大工程”和“超危大工程”清单，并提供相应的安全技术措施）</w:t>
            </w:r>
            <w:r>
              <w:rPr>
                <w:rFonts w:hint="eastAsia" w:hAnsi="宋体" w:cs="宋体"/>
                <w:b w:val="0"/>
                <w:bCs w:val="0"/>
                <w:color w:val="auto"/>
                <w:highlight w:val="none"/>
                <w:lang w:eastAsia="zh-CN"/>
              </w:rPr>
              <w:t>。</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630"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default" w:hAnsi="宋体" w:eastAsia="宋体"/>
                <w:b/>
                <w:color w:val="auto"/>
                <w:szCs w:val="21"/>
                <w:highlight w:val="none"/>
                <w:lang w:val="en-US" w:eastAsia="zh-CN"/>
              </w:rPr>
            </w:pPr>
            <w:r>
              <w:rPr>
                <w:rFonts w:hint="eastAsia" w:hAnsi="宋体"/>
                <w:b/>
                <w:color w:val="auto"/>
                <w:szCs w:val="21"/>
                <w:highlight w:val="none"/>
                <w:lang w:val="en-US" w:eastAsia="zh-CN"/>
              </w:rPr>
              <w:t>10</w:t>
            </w:r>
          </w:p>
        </w:tc>
        <w:tc>
          <w:tcPr>
            <w:tcW w:w="1621"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int="eastAsia" w:hAnsi="宋体" w:eastAsia="宋体"/>
                <w:b/>
                <w:color w:val="auto"/>
                <w:szCs w:val="21"/>
                <w:highlight w:val="none"/>
                <w:lang w:eastAsia="zh-CN"/>
              </w:rPr>
            </w:pPr>
            <w:r>
              <w:rPr>
                <w:rFonts w:hint="eastAsia" w:hAnsi="宋体"/>
                <w:b/>
                <w:color w:val="auto"/>
                <w:szCs w:val="21"/>
                <w:highlight w:val="none"/>
              </w:rPr>
              <w:t>施工总平面布置图</w:t>
            </w:r>
            <w:r>
              <w:rPr>
                <w:rFonts w:hint="eastAsia" w:hAnsi="宋体"/>
                <w:b/>
                <w:color w:val="auto"/>
                <w:szCs w:val="21"/>
                <w:highlight w:val="none"/>
                <w:lang w:eastAsia="zh-CN"/>
              </w:rPr>
              <w:t>（</w:t>
            </w:r>
            <w:r>
              <w:rPr>
                <w:rFonts w:hint="eastAsia" w:hAnsi="宋体"/>
                <w:b/>
                <w:color w:val="auto"/>
                <w:szCs w:val="21"/>
                <w:highlight w:val="none"/>
                <w:lang w:val="en-US" w:eastAsia="zh-CN"/>
              </w:rPr>
              <w:t>4分</w:t>
            </w:r>
            <w:r>
              <w:rPr>
                <w:rFonts w:hint="eastAsia" w:hAnsi="宋体"/>
                <w:b/>
                <w:color w:val="auto"/>
                <w:szCs w:val="21"/>
                <w:highlight w:val="none"/>
                <w:lang w:eastAsia="zh-CN"/>
              </w:rPr>
              <w:t>）</w:t>
            </w:r>
          </w:p>
        </w:tc>
        <w:tc>
          <w:tcPr>
            <w:tcW w:w="5089" w:type="dxa"/>
            <w:gridSpan w:val="2"/>
            <w:tcBorders>
              <w:top w:val="single" w:color="auto" w:sz="4" w:space="0"/>
              <w:left w:val="single" w:color="000000" w:sz="4" w:space="0"/>
              <w:bottom w:val="single" w:color="auto" w:sz="4" w:space="0"/>
              <w:right w:val="single" w:color="000000" w:sz="4" w:space="0"/>
            </w:tcBorders>
            <w:noWrap w:val="0"/>
            <w:vAlign w:val="center"/>
          </w:tcPr>
          <w:p>
            <w:pPr>
              <w:pageBreakBefore w:val="0"/>
              <w:tabs>
                <w:tab w:val="left" w:pos="1450"/>
              </w:tabs>
              <w:kinsoku/>
              <w:wordWrap/>
              <w:overflowPunct/>
              <w:topLinePunct w:val="0"/>
              <w:autoSpaceDE/>
              <w:autoSpaceDN/>
              <w:bidi w:val="0"/>
              <w:adjustRightInd w:val="0"/>
              <w:snapToGrid w:val="0"/>
              <w:spacing w:line="400" w:lineRule="exact"/>
              <w:ind w:left="-35" w:right="-38"/>
              <w:textAlignment w:val="auto"/>
              <w:rPr>
                <w:rFonts w:hint="eastAsia" w:hAnsi="宋体" w:eastAsia="宋体"/>
                <w:bCs/>
                <w:color w:val="auto"/>
                <w:szCs w:val="21"/>
                <w:highlight w:val="none"/>
                <w:lang w:eastAsia="zh-CN"/>
              </w:rPr>
            </w:pPr>
            <w:r>
              <w:rPr>
                <w:rFonts w:hint="eastAsia" w:hAnsi="宋体"/>
                <w:bCs/>
                <w:color w:val="auto"/>
                <w:szCs w:val="21"/>
                <w:highlight w:val="none"/>
                <w:lang w:eastAsia="zh-CN"/>
              </w:rPr>
              <w:t>依据施工总平面布置图设计的内容、各种区域划分及满足现行规范要求的情况进行评审：</w:t>
            </w:r>
            <w:r>
              <w:rPr>
                <w:rFonts w:hint="eastAsia" w:hAnsi="宋体" w:cs="宋体"/>
                <w:color w:val="auto"/>
                <w:szCs w:val="21"/>
                <w:highlight w:val="none"/>
              </w:rPr>
              <w:t>优的得</w:t>
            </w:r>
            <w:r>
              <w:rPr>
                <w:rFonts w:hint="eastAsia" w:hAnsi="宋体" w:cs="宋体"/>
                <w:color w:val="auto"/>
                <w:szCs w:val="21"/>
                <w:highlight w:val="none"/>
                <w:lang w:val="en-US" w:eastAsia="zh-CN"/>
              </w:rPr>
              <w:t>4</w:t>
            </w:r>
            <w:r>
              <w:rPr>
                <w:rFonts w:hint="eastAsia" w:hAnsi="宋体" w:cs="宋体"/>
                <w:color w:val="auto"/>
                <w:szCs w:val="21"/>
                <w:highlight w:val="none"/>
              </w:rPr>
              <w:t>分，良的得</w:t>
            </w:r>
            <w:r>
              <w:rPr>
                <w:rFonts w:hint="eastAsia" w:hAnsi="宋体" w:cs="宋体"/>
                <w:color w:val="auto"/>
                <w:szCs w:val="21"/>
                <w:highlight w:val="none"/>
                <w:lang w:val="en-US" w:eastAsia="zh-CN"/>
              </w:rPr>
              <w:t>3.2</w:t>
            </w:r>
            <w:r>
              <w:rPr>
                <w:rFonts w:hint="eastAsia" w:hAnsi="宋体" w:cs="宋体"/>
                <w:color w:val="auto"/>
                <w:szCs w:val="21"/>
                <w:highlight w:val="none"/>
              </w:rPr>
              <w:t>分，合格的得</w:t>
            </w:r>
            <w:r>
              <w:rPr>
                <w:rFonts w:hint="eastAsia" w:hAnsi="宋体" w:cs="宋体"/>
                <w:color w:val="auto"/>
                <w:szCs w:val="21"/>
                <w:highlight w:val="none"/>
                <w:lang w:val="en-US" w:eastAsia="zh-CN"/>
              </w:rPr>
              <w:t>2.4</w:t>
            </w:r>
            <w:r>
              <w:rPr>
                <w:rFonts w:hint="eastAsia" w:hAnsi="宋体" w:cs="宋体"/>
                <w:color w:val="auto"/>
                <w:szCs w:val="21"/>
                <w:highlight w:val="none"/>
              </w:rPr>
              <w:t>分，差的不得分。</w:t>
            </w:r>
          </w:p>
        </w:tc>
        <w:tc>
          <w:tcPr>
            <w:tcW w:w="1968"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val="0"/>
              <w:snapToGrid w:val="0"/>
              <w:spacing w:line="400" w:lineRule="exact"/>
              <w:ind w:left="-35" w:right="-38"/>
              <w:jc w:val="center"/>
              <w:textAlignment w:val="auto"/>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630"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b/>
                <w:color w:val="auto"/>
                <w:szCs w:val="21"/>
                <w:highlight w:val="none"/>
                <w:lang w:val="en-US" w:eastAsia="zh-CN"/>
              </w:rPr>
            </w:pPr>
            <w:r>
              <w:rPr>
                <w:rFonts w:hint="eastAsia" w:ascii="宋体" w:hAnsi="宋体"/>
                <w:b/>
                <w:color w:val="auto"/>
                <w:szCs w:val="21"/>
                <w:highlight w:val="none"/>
                <w:lang w:val="en-US" w:eastAsia="zh-CN"/>
              </w:rPr>
              <w:t>四</w:t>
            </w:r>
          </w:p>
        </w:tc>
        <w:tc>
          <w:tcPr>
            <w:tcW w:w="1621"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color w:val="auto"/>
                <w:szCs w:val="21"/>
                <w:highlight w:val="none"/>
                <w:lang w:eastAsia="zh-CN"/>
              </w:rPr>
            </w:pPr>
            <w:r>
              <w:rPr>
                <w:rFonts w:hint="eastAsia" w:hAnsi="宋体"/>
                <w:b/>
                <w:color w:val="auto"/>
                <w:szCs w:val="21"/>
                <w:highlight w:val="none"/>
              </w:rPr>
              <w:t>不良行为记录的应用</w:t>
            </w:r>
            <w:r>
              <w:rPr>
                <w:rFonts w:hint="eastAsia" w:hAnsi="宋体"/>
                <w:b/>
                <w:color w:val="auto"/>
                <w:szCs w:val="21"/>
                <w:highlight w:val="none"/>
                <w:lang w:eastAsia="zh-CN"/>
              </w:rPr>
              <w:t>（</w:t>
            </w:r>
            <w:r>
              <w:rPr>
                <w:rFonts w:hint="eastAsia" w:hAnsi="宋体"/>
                <w:b/>
                <w:color w:val="auto"/>
                <w:szCs w:val="21"/>
                <w:highlight w:val="none"/>
                <w:lang w:val="en-US" w:eastAsia="zh-CN"/>
              </w:rPr>
              <w:t>2分</w:t>
            </w:r>
            <w:r>
              <w:rPr>
                <w:rFonts w:hint="eastAsia" w:hAnsi="宋体"/>
                <w:b/>
                <w:color w:val="auto"/>
                <w:szCs w:val="21"/>
                <w:highlight w:val="none"/>
                <w:lang w:eastAsia="zh-CN"/>
              </w:rPr>
              <w:t>）</w:t>
            </w:r>
          </w:p>
        </w:tc>
        <w:tc>
          <w:tcPr>
            <w:tcW w:w="5089" w:type="dxa"/>
            <w:gridSpan w:val="2"/>
            <w:tcBorders>
              <w:top w:val="single" w:color="auto" w:sz="4" w:space="0"/>
              <w:left w:val="single" w:color="000000" w:sz="4" w:space="0"/>
              <w:bottom w:val="single" w:color="auto" w:sz="4" w:space="0"/>
              <w:right w:val="single" w:color="000000" w:sz="4" w:space="0"/>
            </w:tcBorders>
            <w:noWrap w:val="0"/>
            <w:vAlign w:val="center"/>
          </w:tcPr>
          <w:p>
            <w:pPr>
              <w:pageBreakBefore w:val="0"/>
              <w:tabs>
                <w:tab w:val="left" w:pos="1450"/>
              </w:tabs>
              <w:kinsoku/>
              <w:wordWrap/>
              <w:overflowPunct/>
              <w:topLinePunct w:val="0"/>
              <w:autoSpaceDE/>
              <w:autoSpaceDN/>
              <w:bidi w:val="0"/>
              <w:adjustRightInd w:val="0"/>
              <w:snapToGrid w:val="0"/>
              <w:spacing w:line="400" w:lineRule="exact"/>
              <w:ind w:left="-35" w:right="-38"/>
              <w:textAlignment w:val="auto"/>
              <w:rPr>
                <w:rFonts w:hint="eastAsia" w:hAnsi="宋体"/>
                <w:bCs/>
                <w:color w:val="auto"/>
                <w:szCs w:val="21"/>
                <w:highlight w:val="none"/>
                <w:lang w:val="en-US" w:eastAsia="zh-CN"/>
              </w:rPr>
            </w:pPr>
            <w:r>
              <w:rPr>
                <w:rFonts w:hint="eastAsia" w:hAnsi="宋体"/>
                <w:bCs/>
                <w:color w:val="auto"/>
                <w:szCs w:val="21"/>
                <w:highlight w:val="none"/>
                <w:lang w:val="en-US" w:eastAsia="zh-CN"/>
              </w:rPr>
              <w:t>1.供应商未被安庆市（含五县两市）公共资源交易监督管理部门记不良行为记录的，或者供应商被安庆市（含五县两市）公共资源交易监督管理部门记录并披露的不良行为记录，但提交响应文件截止日不处于公示有效期内（公示有效期即限制行为开始时间至限制行为结束时间），得2分。</w:t>
            </w:r>
          </w:p>
          <w:p>
            <w:pPr>
              <w:pageBreakBefore w:val="0"/>
              <w:tabs>
                <w:tab w:val="left" w:pos="1450"/>
              </w:tabs>
              <w:kinsoku/>
              <w:wordWrap/>
              <w:overflowPunct/>
              <w:topLinePunct w:val="0"/>
              <w:autoSpaceDE/>
              <w:autoSpaceDN/>
              <w:bidi w:val="0"/>
              <w:adjustRightInd w:val="0"/>
              <w:snapToGrid w:val="0"/>
              <w:spacing w:line="400" w:lineRule="exact"/>
              <w:ind w:left="-35" w:right="-38"/>
              <w:textAlignment w:val="auto"/>
              <w:rPr>
                <w:rFonts w:hAnsi="宋体"/>
                <w:bCs/>
                <w:color w:val="auto"/>
                <w:szCs w:val="21"/>
                <w:highlight w:val="none"/>
              </w:rPr>
            </w:pPr>
            <w:r>
              <w:rPr>
                <w:rFonts w:hint="eastAsia" w:hAnsi="宋体"/>
                <w:bCs/>
                <w:color w:val="auto"/>
                <w:szCs w:val="21"/>
                <w:highlight w:val="none"/>
                <w:lang w:val="en-US" w:eastAsia="zh-CN"/>
              </w:rPr>
              <w:t>2.供应商被安庆市（含五县两市）公共资源交易监督管理部门记录并披露的不良行为记录，且提交响应文件截止日仍处于公示有效期内（公示有效期即限制行为开始时间至限制行为结束时间），得0分。</w:t>
            </w:r>
          </w:p>
        </w:tc>
        <w:tc>
          <w:tcPr>
            <w:tcW w:w="1968"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Ansi="宋体" w:cs="宋体"/>
                <w:color w:val="auto"/>
                <w:szCs w:val="21"/>
                <w:highlight w:val="none"/>
              </w:rPr>
            </w:pPr>
            <w:r>
              <w:rPr>
                <w:rFonts w:hint="eastAsia" w:hAnsi="宋体" w:cs="宋体"/>
                <w:color w:val="auto"/>
                <w:szCs w:val="21"/>
                <w:highlight w:val="none"/>
              </w:rPr>
              <w:t>注：</w:t>
            </w:r>
            <w:r>
              <w:rPr>
                <w:rFonts w:hint="eastAsia" w:hAnsi="宋体" w:cs="宋体"/>
                <w:color w:val="auto"/>
                <w:szCs w:val="21"/>
                <w:highlight w:val="none"/>
                <w:lang w:eastAsia="zh-CN"/>
              </w:rPr>
              <w:t>供应商磋商响应文件</w:t>
            </w:r>
            <w:r>
              <w:rPr>
                <w:rFonts w:hint="eastAsia" w:hAnsi="宋体" w:cs="宋体"/>
                <w:color w:val="auto"/>
                <w:szCs w:val="21"/>
                <w:highlight w:val="none"/>
              </w:rPr>
              <w:t>中无需提供，以</w:t>
            </w:r>
            <w:r>
              <w:rPr>
                <w:rFonts w:hint="eastAsia" w:hAnsi="宋体" w:cs="宋体"/>
                <w:color w:val="auto"/>
                <w:szCs w:val="21"/>
                <w:highlight w:val="none"/>
                <w:lang w:eastAsia="zh-CN"/>
              </w:rPr>
              <w:t>磋商小组</w:t>
            </w:r>
            <w:r>
              <w:rPr>
                <w:rFonts w:hint="eastAsia" w:hAnsi="宋体" w:cs="宋体"/>
                <w:color w:val="auto"/>
                <w:szCs w:val="21"/>
                <w:highlight w:val="none"/>
              </w:rPr>
              <w:t>评标时实时查询为准。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630"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五</w:t>
            </w:r>
          </w:p>
        </w:tc>
        <w:tc>
          <w:tcPr>
            <w:tcW w:w="1621"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eastAsia="宋体"/>
                <w:b/>
                <w:color w:val="auto"/>
                <w:szCs w:val="21"/>
                <w:highlight w:val="none"/>
                <w:lang w:val="en-US" w:eastAsia="zh-CN"/>
              </w:rPr>
            </w:pPr>
            <w:r>
              <w:rPr>
                <w:rFonts w:hint="eastAsia" w:hAnsi="宋体"/>
                <w:b/>
                <w:color w:val="auto"/>
                <w:szCs w:val="21"/>
                <w:highlight w:val="none"/>
                <w:lang w:val="en-US" w:eastAsia="zh-CN"/>
              </w:rPr>
              <w:t>信用（5分）</w:t>
            </w:r>
          </w:p>
        </w:tc>
        <w:tc>
          <w:tcPr>
            <w:tcW w:w="5089"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jc w:val="left"/>
              <w:rPr>
                <w:highlight w:val="none"/>
              </w:rPr>
            </w:pPr>
            <w:r>
              <w:rPr>
                <w:rFonts w:hint="eastAsia"/>
                <w:highlight w:val="none"/>
                <w:lang w:val="en-US" w:eastAsia="zh-CN"/>
              </w:rPr>
              <w:t>供应商</w:t>
            </w:r>
            <w:r>
              <w:rPr>
                <w:rFonts w:hint="eastAsia"/>
                <w:highlight w:val="none"/>
              </w:rPr>
              <w:t>信用分以在</w:t>
            </w:r>
            <w:r>
              <w:rPr>
                <w:rFonts w:hint="eastAsia"/>
                <w:highlight w:val="none"/>
                <w:lang w:val="en-US" w:eastAsia="zh-CN"/>
              </w:rPr>
              <w:t>响应</w:t>
            </w:r>
            <w:r>
              <w:rPr>
                <w:rFonts w:hint="eastAsia"/>
                <w:highlight w:val="none"/>
              </w:rPr>
              <w:t>文件提交截止时间前安庆市住房和城乡建设局在官网公告的最新一期企业信用分为准。</w:t>
            </w:r>
            <w:r>
              <w:rPr>
                <w:rFonts w:hint="eastAsia"/>
                <w:highlight w:val="none"/>
                <w:lang w:val="en-US" w:eastAsia="zh-CN"/>
              </w:rPr>
              <w:t>磋商</w:t>
            </w:r>
            <w:r>
              <w:rPr>
                <w:rFonts w:hint="eastAsia"/>
                <w:highlight w:val="none"/>
              </w:rPr>
              <w:t>时自行提供网页</w:t>
            </w:r>
            <w:r>
              <w:rPr>
                <w:rFonts w:hint="eastAsia"/>
                <w:highlight w:val="none"/>
                <w:lang w:val="en-US" w:eastAsia="zh-CN"/>
              </w:rPr>
              <w:t>公告</w:t>
            </w:r>
            <w:r>
              <w:rPr>
                <w:rFonts w:hint="eastAsia"/>
                <w:highlight w:val="none"/>
              </w:rPr>
              <w:t>截图，未提供或提供不正确的视为无信用分。具体如下：</w:t>
            </w:r>
          </w:p>
          <w:p>
            <w:pPr>
              <w:pStyle w:val="29"/>
              <w:numPr>
                <w:ilvl w:val="0"/>
                <w:numId w:val="0"/>
              </w:numPr>
              <w:spacing w:line="360" w:lineRule="auto"/>
              <w:rPr>
                <w:highlight w:val="none"/>
              </w:rPr>
            </w:pPr>
            <w:r>
              <w:rPr>
                <w:highlight w:val="none"/>
              </w:rPr>
              <w:t>A≥90</w:t>
            </w:r>
            <w:r>
              <w:rPr>
                <w:rFonts w:hint="eastAsia"/>
                <w:highlight w:val="none"/>
              </w:rPr>
              <w:t>，得</w:t>
            </w:r>
            <w:r>
              <w:rPr>
                <w:rFonts w:hint="eastAsia"/>
                <w:highlight w:val="none"/>
                <w:lang w:val="en-US" w:eastAsia="zh-CN"/>
              </w:rPr>
              <w:t>5</w:t>
            </w:r>
            <w:r>
              <w:rPr>
                <w:rFonts w:hint="eastAsia"/>
                <w:highlight w:val="none"/>
              </w:rPr>
              <w:t>分；</w:t>
            </w:r>
          </w:p>
          <w:p>
            <w:pPr>
              <w:pStyle w:val="29"/>
              <w:numPr>
                <w:ilvl w:val="0"/>
                <w:numId w:val="0"/>
              </w:numPr>
              <w:spacing w:line="360" w:lineRule="auto"/>
              <w:rPr>
                <w:highlight w:val="none"/>
              </w:rPr>
            </w:pPr>
            <w:r>
              <w:rPr>
                <w:highlight w:val="none"/>
              </w:rPr>
              <w:t>90＞A≥80</w:t>
            </w:r>
            <w:r>
              <w:rPr>
                <w:rFonts w:hint="eastAsia"/>
                <w:highlight w:val="none"/>
              </w:rPr>
              <w:t>，得</w:t>
            </w:r>
            <w:r>
              <w:rPr>
                <w:rFonts w:hint="eastAsia"/>
                <w:highlight w:val="none"/>
                <w:lang w:val="en-US" w:eastAsia="zh-CN"/>
              </w:rPr>
              <w:t>4</w:t>
            </w:r>
            <w:r>
              <w:rPr>
                <w:rFonts w:hint="eastAsia"/>
                <w:highlight w:val="none"/>
              </w:rPr>
              <w:t>分；</w:t>
            </w:r>
          </w:p>
          <w:p>
            <w:pPr>
              <w:pStyle w:val="29"/>
              <w:numPr>
                <w:ilvl w:val="0"/>
                <w:numId w:val="0"/>
              </w:numPr>
              <w:spacing w:line="360" w:lineRule="auto"/>
              <w:rPr>
                <w:highlight w:val="none"/>
              </w:rPr>
            </w:pPr>
            <w:r>
              <w:rPr>
                <w:highlight w:val="none"/>
              </w:rPr>
              <w:t>80＞A≥70</w:t>
            </w:r>
            <w:r>
              <w:rPr>
                <w:rFonts w:hint="eastAsia"/>
                <w:highlight w:val="none"/>
              </w:rPr>
              <w:t>，得</w:t>
            </w:r>
            <w:r>
              <w:rPr>
                <w:rFonts w:hint="eastAsia"/>
                <w:highlight w:val="none"/>
                <w:lang w:val="en-US" w:eastAsia="zh-CN"/>
              </w:rPr>
              <w:t>3</w:t>
            </w:r>
            <w:r>
              <w:rPr>
                <w:rFonts w:hint="eastAsia"/>
                <w:highlight w:val="none"/>
              </w:rPr>
              <w:t>分；</w:t>
            </w:r>
          </w:p>
          <w:p>
            <w:pPr>
              <w:pStyle w:val="29"/>
              <w:numPr>
                <w:ilvl w:val="0"/>
                <w:numId w:val="0"/>
              </w:numPr>
              <w:spacing w:line="360" w:lineRule="auto"/>
              <w:rPr>
                <w:highlight w:val="none"/>
              </w:rPr>
            </w:pPr>
            <w:r>
              <w:rPr>
                <w:highlight w:val="none"/>
              </w:rPr>
              <w:t>70＞A≥60</w:t>
            </w:r>
            <w:r>
              <w:rPr>
                <w:rFonts w:hint="eastAsia"/>
                <w:highlight w:val="none"/>
              </w:rPr>
              <w:t>，得</w:t>
            </w:r>
            <w:r>
              <w:rPr>
                <w:rFonts w:hint="eastAsia"/>
                <w:highlight w:val="none"/>
                <w:lang w:val="en-US" w:eastAsia="zh-CN"/>
              </w:rPr>
              <w:t>2</w:t>
            </w:r>
            <w:r>
              <w:rPr>
                <w:rFonts w:hint="eastAsia"/>
                <w:highlight w:val="none"/>
              </w:rPr>
              <w:t>分；</w:t>
            </w:r>
          </w:p>
          <w:p>
            <w:pPr>
              <w:pStyle w:val="29"/>
              <w:numPr>
                <w:ilvl w:val="0"/>
                <w:numId w:val="0"/>
              </w:numPr>
              <w:spacing w:line="360" w:lineRule="auto"/>
              <w:rPr>
                <w:highlight w:val="none"/>
              </w:rPr>
            </w:pPr>
            <w:r>
              <w:rPr>
                <w:highlight w:val="none"/>
              </w:rPr>
              <w:t>60＞A≥50</w:t>
            </w:r>
            <w:r>
              <w:rPr>
                <w:rFonts w:hint="eastAsia"/>
                <w:highlight w:val="none"/>
              </w:rPr>
              <w:t>，得</w:t>
            </w:r>
            <w:r>
              <w:rPr>
                <w:rFonts w:hint="eastAsia"/>
                <w:highlight w:val="none"/>
                <w:lang w:val="en-US" w:eastAsia="zh-CN"/>
              </w:rPr>
              <w:t>1</w:t>
            </w:r>
            <w:r>
              <w:rPr>
                <w:rFonts w:hint="eastAsia"/>
                <w:highlight w:val="none"/>
              </w:rPr>
              <w:t>分；</w:t>
            </w:r>
          </w:p>
          <w:p>
            <w:pPr>
              <w:pageBreakBefore w:val="0"/>
              <w:tabs>
                <w:tab w:val="left" w:pos="1450"/>
              </w:tabs>
              <w:kinsoku/>
              <w:wordWrap/>
              <w:overflowPunct/>
              <w:topLinePunct w:val="0"/>
              <w:autoSpaceDE/>
              <w:autoSpaceDN/>
              <w:bidi w:val="0"/>
              <w:adjustRightInd w:val="0"/>
              <w:snapToGrid w:val="0"/>
              <w:spacing w:line="400" w:lineRule="exact"/>
              <w:ind w:left="-35" w:right="-38"/>
              <w:textAlignment w:val="auto"/>
              <w:rPr>
                <w:rFonts w:hint="eastAsia" w:hAnsi="宋体"/>
                <w:bCs/>
                <w:color w:val="auto"/>
                <w:szCs w:val="21"/>
                <w:highlight w:val="none"/>
                <w:lang w:val="en-US" w:eastAsia="zh-CN"/>
              </w:rPr>
            </w:pPr>
            <w:r>
              <w:rPr>
                <w:highlight w:val="none"/>
              </w:rPr>
              <w:t>A</w:t>
            </w:r>
            <w:r>
              <w:rPr>
                <w:rFonts w:hint="eastAsia"/>
                <w:highlight w:val="none"/>
                <w:lang w:val="en-US" w:eastAsia="zh-CN"/>
              </w:rPr>
              <w:t>＜50</w:t>
            </w:r>
            <w:r>
              <w:rPr>
                <w:rFonts w:hint="eastAsia"/>
                <w:highlight w:val="none"/>
              </w:rPr>
              <w:t>，得</w:t>
            </w:r>
            <w:r>
              <w:rPr>
                <w:rFonts w:hint="eastAsia"/>
                <w:highlight w:val="none"/>
                <w:lang w:val="en-US" w:eastAsia="zh-CN"/>
              </w:rPr>
              <w:t>0</w:t>
            </w:r>
            <w:r>
              <w:rPr>
                <w:rFonts w:hint="eastAsia"/>
                <w:highlight w:val="none"/>
              </w:rPr>
              <w:t>分</w:t>
            </w:r>
            <w:r>
              <w:rPr>
                <w:rFonts w:hint="eastAsia"/>
                <w:highlight w:val="none"/>
                <w:lang w:eastAsia="zh-CN"/>
              </w:rPr>
              <w:t>。</w:t>
            </w:r>
          </w:p>
        </w:tc>
        <w:tc>
          <w:tcPr>
            <w:tcW w:w="1968"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63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五</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Times New Roman" w:hAnsi="宋体" w:cs="Times New Roman"/>
                <w:b/>
                <w:color w:val="auto"/>
                <w:szCs w:val="21"/>
                <w:highlight w:val="none"/>
              </w:rPr>
            </w:pPr>
            <w:r>
              <w:rPr>
                <w:rFonts w:hint="eastAsia" w:ascii="Times New Roman" w:hAnsi="宋体" w:cs="Times New Roman"/>
                <w:b/>
                <w:color w:val="auto"/>
                <w:szCs w:val="21"/>
                <w:highlight w:val="none"/>
                <w:lang w:val="en-US" w:eastAsia="zh-CN"/>
              </w:rPr>
              <w:t>报价</w:t>
            </w:r>
            <w:r>
              <w:rPr>
                <w:rFonts w:hint="eastAsia" w:hAnsi="宋体" w:cs="Times New Roman"/>
                <w:b/>
                <w:color w:val="auto"/>
                <w:szCs w:val="21"/>
                <w:highlight w:val="none"/>
                <w:lang w:val="en-US" w:eastAsia="zh-CN"/>
              </w:rPr>
              <w:t>（15分）</w:t>
            </w:r>
          </w:p>
        </w:tc>
        <w:tc>
          <w:tcPr>
            <w:tcW w:w="5089" w:type="dxa"/>
            <w:gridSpan w:val="2"/>
            <w:tcBorders>
              <w:top w:val="single" w:color="auto" w:sz="4" w:space="0"/>
              <w:left w:val="single" w:color="000000" w:sz="4" w:space="0"/>
              <w:bottom w:val="single" w:color="000000" w:sz="4" w:space="0"/>
              <w:right w:val="single" w:color="000000" w:sz="4" w:space="0"/>
            </w:tcBorders>
            <w:noWrap w:val="0"/>
            <w:vAlign w:val="top"/>
          </w:tcPr>
          <w:p>
            <w:pPr>
              <w:spacing w:line="360" w:lineRule="auto"/>
              <w:rPr>
                <w:rFonts w:ascii="宋体" w:cs="黑体"/>
                <w:bCs/>
                <w:snapToGrid w:val="0"/>
                <w:color w:val="auto"/>
                <w:szCs w:val="21"/>
                <w:highlight w:val="none"/>
              </w:rPr>
            </w:pPr>
            <w:r>
              <w:rPr>
                <w:rFonts w:hint="eastAsia" w:ascii="宋体" w:cs="黑体"/>
                <w:bCs/>
                <w:snapToGrid w:val="0"/>
                <w:color w:val="auto"/>
                <w:szCs w:val="21"/>
                <w:highlight w:val="none"/>
              </w:rPr>
              <w:t>价格分统一采用低价优先法，即满足磋商文件要求且报价最低的最后磋商报价为评标基准价，其价格分为满分</w:t>
            </w:r>
            <w:r>
              <w:rPr>
                <w:rFonts w:hint="eastAsia" w:ascii="宋体" w:cs="黑体"/>
                <w:bCs/>
                <w:snapToGrid w:val="0"/>
                <w:color w:val="auto"/>
                <w:szCs w:val="21"/>
                <w:highlight w:val="none"/>
                <w:lang w:val="en-US" w:eastAsia="zh-CN"/>
              </w:rPr>
              <w:t>15</w:t>
            </w:r>
            <w:r>
              <w:rPr>
                <w:rFonts w:hint="eastAsia" w:ascii="宋体" w:cs="黑体"/>
                <w:bCs/>
                <w:snapToGrid w:val="0"/>
                <w:color w:val="auto"/>
                <w:szCs w:val="21"/>
                <w:highlight w:val="none"/>
              </w:rPr>
              <w:t xml:space="preserve">分。其他供应商的价格分统一按照下列公式计算： </w:t>
            </w:r>
          </w:p>
          <w:p>
            <w:pPr>
              <w:spacing w:line="360" w:lineRule="auto"/>
              <w:rPr>
                <w:rFonts w:ascii="宋体" w:cs="黑体"/>
                <w:bCs/>
                <w:snapToGrid w:val="0"/>
                <w:color w:val="auto"/>
                <w:szCs w:val="21"/>
                <w:highlight w:val="none"/>
              </w:rPr>
            </w:pPr>
            <w:r>
              <w:rPr>
                <w:rFonts w:hint="eastAsia" w:ascii="宋体" w:cs="黑体"/>
                <w:bCs/>
                <w:snapToGrid w:val="0"/>
                <w:color w:val="auto"/>
                <w:szCs w:val="21"/>
                <w:highlight w:val="none"/>
              </w:rPr>
              <w:t>磋商报价得分＝（评标基准价/最后磋商报价）×</w:t>
            </w:r>
            <w:r>
              <w:rPr>
                <w:rFonts w:hint="eastAsia" w:ascii="宋体" w:cs="黑体"/>
                <w:bCs/>
                <w:snapToGrid w:val="0"/>
                <w:color w:val="auto"/>
                <w:szCs w:val="21"/>
                <w:highlight w:val="none"/>
                <w:lang w:val="en-US" w:eastAsia="zh-CN"/>
              </w:rPr>
              <w:t>15</w:t>
            </w:r>
            <w:r>
              <w:rPr>
                <w:rFonts w:hint="eastAsia" w:ascii="宋体" w:cs="黑体"/>
                <w:bCs/>
                <w:snapToGrid w:val="0"/>
                <w:color w:val="auto"/>
                <w:szCs w:val="21"/>
                <w:highlight w:val="none"/>
              </w:rPr>
              <w:t xml:space="preserve">％×100 </w:t>
            </w:r>
          </w:p>
          <w:p>
            <w:pPr>
              <w:spacing w:line="360" w:lineRule="auto"/>
              <w:rPr>
                <w:rFonts w:ascii="宋体" w:cs="黑体"/>
                <w:bCs/>
                <w:snapToGrid w:val="0"/>
                <w:color w:val="auto"/>
                <w:szCs w:val="21"/>
                <w:highlight w:val="none"/>
              </w:rPr>
            </w:pPr>
            <w:r>
              <w:rPr>
                <w:rFonts w:hint="eastAsia" w:ascii="宋体" w:cs="黑体"/>
                <w:bCs/>
                <w:snapToGrid w:val="0"/>
                <w:color w:val="auto"/>
                <w:szCs w:val="21"/>
                <w:highlight w:val="none"/>
              </w:rPr>
              <w:t>最后磋商报价，若有报价扣除，以扣除后价格参与评审。</w:t>
            </w:r>
          </w:p>
          <w:p>
            <w:pPr>
              <w:spacing w:line="360" w:lineRule="auto"/>
              <w:rPr>
                <w:rFonts w:hint="eastAsia" w:ascii="Times New Roman" w:hAnsi="宋体" w:cs="Times New Roman"/>
                <w:b/>
                <w:color w:val="auto"/>
                <w:szCs w:val="21"/>
                <w:highlight w:val="none"/>
              </w:rPr>
            </w:pPr>
            <w:r>
              <w:rPr>
                <w:rFonts w:hint="eastAsia" w:ascii="宋体" w:hAnsi="宋体" w:cs="黑体"/>
                <w:bCs/>
                <w:snapToGrid w:val="0"/>
                <w:color w:val="auto"/>
                <w:szCs w:val="21"/>
                <w:highlight w:val="none"/>
              </w:rPr>
              <w:t>（商务报价分计算至小数点后第二位、小数点后第三位四舍五入）</w:t>
            </w:r>
          </w:p>
        </w:tc>
        <w:tc>
          <w:tcPr>
            <w:tcW w:w="1968"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hAnsi="宋体" w:cs="宋体"/>
                <w:color w:val="auto"/>
                <w:szCs w:val="21"/>
                <w:highlight w:val="none"/>
              </w:rPr>
            </w:pPr>
          </w:p>
        </w:tc>
      </w:tr>
    </w:tbl>
    <w:p>
      <w:pPr>
        <w:spacing w:line="360" w:lineRule="auto"/>
        <w:rPr>
          <w:rFonts w:hint="eastAsia" w:ascii="宋体" w:hAnsi="宋体" w:cs="宋体"/>
          <w:b/>
          <w:szCs w:val="21"/>
          <w:highlight w:val="none"/>
        </w:rPr>
      </w:pPr>
    </w:p>
    <w:p>
      <w:pPr>
        <w:spacing w:line="360" w:lineRule="auto"/>
        <w:ind w:firstLine="422" w:firstLineChars="200"/>
        <w:rPr>
          <w:rFonts w:ascii="宋体" w:cs="宋体"/>
          <w:b/>
          <w:szCs w:val="21"/>
          <w:highlight w:val="none"/>
        </w:rPr>
      </w:pPr>
      <w:r>
        <w:rPr>
          <w:rFonts w:hint="eastAsia" w:ascii="宋体" w:hAnsi="宋体" w:cs="宋体"/>
          <w:b/>
          <w:szCs w:val="21"/>
          <w:highlight w:val="none"/>
        </w:rPr>
        <w:t>备注：</w:t>
      </w:r>
    </w:p>
    <w:p>
      <w:pPr>
        <w:spacing w:line="360" w:lineRule="auto"/>
        <w:ind w:firstLine="422" w:firstLineChars="200"/>
        <w:rPr>
          <w:rFonts w:ascii="宋体" w:cs="宋体"/>
          <w:b/>
          <w:snapToGrid w:val="0"/>
          <w:kern w:val="0"/>
          <w:szCs w:val="21"/>
          <w:highlight w:val="none"/>
        </w:rPr>
      </w:pPr>
      <w:r>
        <w:rPr>
          <w:rFonts w:hint="eastAsia" w:ascii="宋体" w:hAnsi="宋体" w:cs="宋体"/>
          <w:b/>
          <w:szCs w:val="21"/>
          <w:highlight w:val="none"/>
        </w:rPr>
        <w:t>（</w:t>
      </w:r>
      <w:r>
        <w:rPr>
          <w:rFonts w:ascii="宋体" w:hAnsi="宋体" w:cs="宋体"/>
          <w:b/>
          <w:szCs w:val="21"/>
          <w:highlight w:val="none"/>
        </w:rPr>
        <w:t>1</w:t>
      </w:r>
      <w:r>
        <w:rPr>
          <w:rFonts w:hint="eastAsia" w:ascii="宋体" w:hAnsi="宋体" w:cs="宋体"/>
          <w:b/>
          <w:szCs w:val="21"/>
          <w:highlight w:val="none"/>
        </w:rPr>
        <w:t>）各磋商小组成员按以上评分项目进行评判，</w:t>
      </w:r>
      <w:r>
        <w:rPr>
          <w:rFonts w:hint="eastAsia" w:ascii="宋体" w:hAnsi="宋体" w:cs="宋体"/>
          <w:b/>
          <w:snapToGrid w:val="0"/>
          <w:kern w:val="0"/>
          <w:szCs w:val="21"/>
          <w:highlight w:val="none"/>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cs="宋体"/>
          <w:b/>
          <w:color w:val="FF0000"/>
          <w:szCs w:val="21"/>
          <w:highlight w:val="none"/>
        </w:rPr>
      </w:pPr>
      <w:r>
        <w:rPr>
          <w:rFonts w:hint="eastAsia" w:ascii="宋体" w:hAnsi="宋体" w:cs="宋体"/>
          <w:b/>
          <w:szCs w:val="21"/>
          <w:highlight w:val="none"/>
        </w:rPr>
        <w:t>（2）</w:t>
      </w:r>
      <w:r>
        <w:rPr>
          <w:rFonts w:hint="eastAsia" w:ascii="宋体" w:hAnsi="宋体" w:cs="宋体"/>
          <w:b/>
          <w:color w:val="000000"/>
          <w:szCs w:val="21"/>
          <w:highlight w:val="none"/>
        </w:rPr>
        <w:t>磋商小组成员在打出各主观评分项最低分或者不得分时</w:t>
      </w:r>
      <w:r>
        <w:rPr>
          <w:rFonts w:hint="eastAsia" w:ascii="宋体" w:hAnsi="宋体" w:cs="宋体"/>
          <w:b/>
          <w:szCs w:val="21"/>
          <w:highlight w:val="none"/>
        </w:rPr>
        <w:t>，须书面说明理由。</w:t>
      </w:r>
    </w:p>
    <w:p>
      <w:pPr>
        <w:spacing w:line="360" w:lineRule="auto"/>
        <w:ind w:firstLine="316" w:firstLineChars="150"/>
        <w:rPr>
          <w:rFonts w:ascii="宋体" w:cs="宋体"/>
          <w:b/>
          <w:szCs w:val="21"/>
          <w:highlight w:val="none"/>
        </w:rPr>
      </w:pPr>
      <w:r>
        <w:rPr>
          <w:rFonts w:hint="eastAsia" w:ascii="宋体" w:hAnsi="宋体" w:cs="宋体"/>
          <w:b/>
          <w:szCs w:val="21"/>
          <w:highlight w:val="none"/>
        </w:rPr>
        <w:t>（3）供应商提供的业绩证明材料要能清晰反映业绩评分的实质内容，否则磋商小组不予认可。</w:t>
      </w:r>
    </w:p>
    <w:p>
      <w:pPr>
        <w:spacing w:line="360" w:lineRule="auto"/>
        <w:ind w:firstLine="310" w:firstLineChars="147"/>
        <w:rPr>
          <w:rFonts w:ascii="宋体"/>
          <w:szCs w:val="21"/>
          <w:highlight w:val="none"/>
        </w:rPr>
      </w:pPr>
      <w:r>
        <w:rPr>
          <w:rFonts w:hint="eastAsia" w:ascii="宋体" w:hAnsi="宋体" w:cs="宋体"/>
          <w:b/>
          <w:szCs w:val="21"/>
          <w:highlight w:val="none"/>
        </w:rPr>
        <w:t>（4）以上评分项中要求供应商提供复印件或影印件等相关证明材料的，相关证明材料均须加盖供应商公章，否则该项均不得分。</w:t>
      </w:r>
      <w:r>
        <w:rPr>
          <w:rFonts w:ascii="宋体" w:hAnsi="宋体"/>
          <w:szCs w:val="21"/>
          <w:highlight w:val="none"/>
        </w:rPr>
        <w:t xml:space="preserve">   </w:t>
      </w:r>
    </w:p>
    <w:p>
      <w:pPr>
        <w:spacing w:line="480" w:lineRule="exact"/>
        <w:rPr>
          <w:rFonts w:ascii="宋体"/>
          <w:szCs w:val="21"/>
          <w:highlight w:val="none"/>
        </w:rPr>
      </w:pPr>
      <w:r>
        <w:rPr>
          <w:rFonts w:ascii="宋体" w:hAnsi="宋体"/>
          <w:szCs w:val="21"/>
          <w:highlight w:val="none"/>
        </w:rPr>
        <w:t xml:space="preserve">  </w:t>
      </w:r>
      <w:r>
        <w:rPr>
          <w:rFonts w:ascii="宋体" w:hAnsi="宋体"/>
          <w:b/>
          <w:bCs/>
          <w:szCs w:val="21"/>
          <w:highlight w:val="none"/>
        </w:rPr>
        <w:t xml:space="preserve"> 2</w:t>
      </w:r>
      <w:r>
        <w:rPr>
          <w:rFonts w:hint="eastAsia" w:ascii="宋体" w:hAnsi="宋体"/>
          <w:b/>
          <w:bCs/>
          <w:szCs w:val="21"/>
          <w:highlight w:val="none"/>
        </w:rPr>
        <w:t>6</w:t>
      </w:r>
      <w:r>
        <w:rPr>
          <w:rFonts w:ascii="宋体" w:hAnsi="宋体"/>
          <w:b/>
          <w:bCs/>
          <w:szCs w:val="21"/>
          <w:highlight w:val="none"/>
        </w:rPr>
        <w:t xml:space="preserve"> </w:t>
      </w:r>
      <w:r>
        <w:rPr>
          <w:rFonts w:hint="eastAsia" w:ascii="宋体" w:hAnsi="宋体"/>
          <w:b/>
          <w:bCs/>
          <w:szCs w:val="21"/>
          <w:highlight w:val="none"/>
        </w:rPr>
        <w:t>澄清及错误修正</w:t>
      </w:r>
    </w:p>
    <w:p>
      <w:pPr>
        <w:spacing w:line="480" w:lineRule="exact"/>
        <w:ind w:firstLine="420" w:firstLineChars="200"/>
        <w:rPr>
          <w:rFonts w:ascii="宋体" w:hAnsi="宋体"/>
          <w:szCs w:val="21"/>
          <w:highlight w:val="none"/>
          <w:lang w:val="zh-CN"/>
        </w:rPr>
      </w:pPr>
      <w:r>
        <w:rPr>
          <w:rFonts w:hint="eastAsia"/>
          <w:szCs w:val="21"/>
          <w:highlight w:val="none"/>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w:t>
      </w:r>
      <w:r>
        <w:rPr>
          <w:rFonts w:hint="eastAsia" w:ascii="宋体" w:hAnsi="宋体"/>
          <w:szCs w:val="21"/>
          <w:highlight w:val="none"/>
        </w:rPr>
        <w:t>通过电子交易系统</w:t>
      </w:r>
      <w:r>
        <w:rPr>
          <w:rFonts w:hint="eastAsia"/>
          <w:szCs w:val="21"/>
          <w:highlight w:val="none"/>
        </w:rPr>
        <w:t>要求供应商对所提交响应文件中不明确内容进行书面澄清或说明，或者对细微偏差进行补正。有关澄清说明与答复，供应商应在磋商小组规定时间内</w:t>
      </w:r>
      <w:r>
        <w:rPr>
          <w:rFonts w:hint="eastAsia" w:ascii="宋体" w:hAnsi="宋体"/>
          <w:szCs w:val="21"/>
          <w:highlight w:val="none"/>
        </w:rPr>
        <w:t>通过电子交易系统</w:t>
      </w:r>
      <w:r>
        <w:rPr>
          <w:rFonts w:hint="eastAsia"/>
          <w:szCs w:val="21"/>
          <w:highlight w:val="none"/>
        </w:rPr>
        <w:t>按磋商文件的约定进行签署。磋商小组不接受供应商主动</w:t>
      </w:r>
      <w:r>
        <w:rPr>
          <w:rFonts w:hint="eastAsia" w:ascii="宋体" w:hAnsi="宋体"/>
          <w:szCs w:val="21"/>
          <w:highlight w:val="none"/>
          <w:lang w:val="zh-CN"/>
        </w:rPr>
        <w:t>提出的澄清、说明或补正。</w:t>
      </w:r>
    </w:p>
    <w:p>
      <w:pPr>
        <w:autoSpaceDE w:val="0"/>
        <w:autoSpaceDN w:val="0"/>
        <w:adjustRightInd w:val="0"/>
        <w:snapToGrid w:val="0"/>
        <w:spacing w:line="480" w:lineRule="exact"/>
        <w:ind w:firstLine="411" w:firstLineChars="196"/>
        <w:rPr>
          <w:rFonts w:ascii="宋体" w:hAnsi="宋体"/>
          <w:b/>
          <w:bCs/>
          <w:szCs w:val="21"/>
          <w:highlight w:val="none"/>
        </w:rPr>
      </w:pPr>
      <w:r>
        <w:rPr>
          <w:rFonts w:hint="eastAsia" w:ascii="宋体" w:hAnsi="宋体"/>
          <w:szCs w:val="21"/>
          <w:highlight w:val="none"/>
        </w:rPr>
        <w:t>27、</w:t>
      </w:r>
      <w:r>
        <w:rPr>
          <w:rFonts w:hint="eastAsia" w:ascii="宋体" w:hAnsi="宋体"/>
          <w:b/>
          <w:bCs/>
          <w:szCs w:val="21"/>
          <w:highlight w:val="none"/>
        </w:rPr>
        <w:t>确定成交供应商</w:t>
      </w:r>
    </w:p>
    <w:p>
      <w:pPr>
        <w:widowControl/>
        <w:spacing w:line="500" w:lineRule="exact"/>
        <w:ind w:firstLine="420"/>
        <w:jc w:val="left"/>
        <w:rPr>
          <w:rStyle w:val="76"/>
          <w:color w:val="000000" w:themeColor="text1"/>
          <w:szCs w:val="21"/>
          <w:highlight w:val="none"/>
          <w14:textFill>
            <w14:solidFill>
              <w14:schemeClr w14:val="tx1"/>
            </w14:solidFill>
          </w14:textFill>
        </w:rPr>
      </w:pPr>
      <w:r>
        <w:rPr>
          <w:rFonts w:hint="eastAsia" w:ascii="宋体" w:hAnsi="宋体"/>
          <w:szCs w:val="21"/>
          <w:highlight w:val="none"/>
        </w:rPr>
        <w:t>磋商小组查询排序前三名的供应商信用记录，供应商存在不良信用记录的，磋商小组</w:t>
      </w:r>
      <w:r>
        <w:rPr>
          <w:highlight w:val="none"/>
        </w:rPr>
        <w:fldChar w:fldCharType="begin"/>
      </w:r>
      <w:r>
        <w:rPr>
          <w:highlight w:val="none"/>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highlight w:val="none"/>
        </w:rPr>
        <w:fldChar w:fldCharType="separate"/>
      </w:r>
      <w:r>
        <w:rPr>
          <w:rStyle w:val="76"/>
          <w:rFonts w:hint="eastAsia"/>
          <w:color w:val="000000" w:themeColor="text1"/>
          <w:szCs w:val="21"/>
          <w:highlight w:val="none"/>
          <w:u w:val="none"/>
          <w14:textFill>
            <w14:solidFill>
              <w14:schemeClr w14:val="tx1"/>
            </w14:solidFill>
          </w14:textFill>
        </w:rPr>
        <w:t>不得将其推荐为成交候选人，依序递补，并再次对递补的供应商进行核查。</w:t>
      </w:r>
      <w:r>
        <w:rPr>
          <w:rStyle w:val="76"/>
          <w:rFonts w:hint="eastAsia"/>
          <w:color w:val="000000" w:themeColor="text1"/>
          <w:szCs w:val="21"/>
          <w:highlight w:val="none"/>
          <w:u w:val="none"/>
          <w14:textFill>
            <w14:solidFill>
              <w14:schemeClr w14:val="tx1"/>
            </w14:solidFill>
          </w14:textFill>
        </w:rPr>
        <w:fldChar w:fldCharType="end"/>
      </w:r>
    </w:p>
    <w:p>
      <w:pPr>
        <w:widowControl/>
        <w:spacing w:line="500" w:lineRule="exact"/>
        <w:ind w:firstLine="420"/>
        <w:jc w:val="left"/>
        <w:rPr>
          <w:rFonts w:ascii="宋体" w:hAnsi="宋体"/>
          <w:szCs w:val="21"/>
          <w:highlight w:val="none"/>
        </w:rPr>
      </w:pPr>
      <w:r>
        <w:rPr>
          <w:rFonts w:ascii="宋体" w:hAnsi="宋体"/>
          <w:szCs w:val="21"/>
          <w:highlight w:val="none"/>
        </w:rPr>
        <w:t>27.1</w:t>
      </w:r>
      <w:r>
        <w:rPr>
          <w:rFonts w:hint="eastAsia" w:ascii="宋体" w:hAnsi="宋体"/>
          <w:szCs w:val="21"/>
          <w:highlight w:val="none"/>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highlight w:val="none"/>
        </w:rPr>
      </w:pPr>
      <w:r>
        <w:rPr>
          <w:rFonts w:hint="eastAsia" w:ascii="宋体" w:hAnsi="宋体"/>
          <w:szCs w:val="21"/>
          <w:highlight w:val="none"/>
        </w:rPr>
        <w:t>2</w:t>
      </w:r>
      <w:r>
        <w:rPr>
          <w:rFonts w:ascii="宋体" w:hAnsi="宋体"/>
          <w:szCs w:val="21"/>
          <w:highlight w:val="none"/>
        </w:rPr>
        <w:t>7.2</w:t>
      </w:r>
      <w:r>
        <w:rPr>
          <w:rFonts w:hint="eastAsia" w:ascii="宋体" w:hAnsi="宋体"/>
          <w:szCs w:val="21"/>
          <w:highlight w:val="none"/>
        </w:rPr>
        <w:t>信用信息查询渠道：中国政府采购网（www.ccgp.gov.cn）、“信用中国”网站（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ascii="宋体" w:hAnsi="宋体"/>
          <w:szCs w:val="21"/>
          <w:highlight w:val="none"/>
        </w:rPr>
        <w:t>）。</w:t>
      </w:r>
    </w:p>
    <w:p>
      <w:pPr>
        <w:spacing w:line="480" w:lineRule="exact"/>
        <w:ind w:firstLine="420" w:firstLineChars="200"/>
        <w:rPr>
          <w:rFonts w:ascii="宋体"/>
          <w:szCs w:val="21"/>
          <w:highlight w:val="none"/>
          <w:lang w:val="zh-CN"/>
        </w:rPr>
      </w:pPr>
      <w:r>
        <w:rPr>
          <w:rFonts w:hint="eastAsia" w:ascii="宋体" w:hAnsi="宋体"/>
          <w:szCs w:val="21"/>
          <w:highlight w:val="none"/>
        </w:rPr>
        <w:t>磋商小组应当对通过失信核查的供应商根据综合评分情况，按照评审得分由高到低顺序推荐</w:t>
      </w:r>
      <w:r>
        <w:rPr>
          <w:rFonts w:ascii="宋体" w:hAnsi="宋体"/>
          <w:szCs w:val="21"/>
          <w:highlight w:val="none"/>
        </w:rPr>
        <w:t>3</w:t>
      </w:r>
      <w:r>
        <w:rPr>
          <w:rFonts w:hint="eastAsia" w:ascii="宋体" w:hAnsi="宋体"/>
          <w:szCs w:val="21"/>
          <w:highlight w:val="none"/>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highlight w:val="none"/>
        </w:rPr>
      </w:pPr>
      <w:r>
        <w:rPr>
          <w:rFonts w:ascii="宋体" w:hAnsi="宋体" w:cs="宋体"/>
          <w:b/>
          <w:szCs w:val="21"/>
          <w:highlight w:val="none"/>
        </w:rPr>
        <w:t>2</w:t>
      </w:r>
      <w:r>
        <w:rPr>
          <w:rFonts w:hint="eastAsia" w:ascii="宋体" w:hAnsi="宋体" w:cs="宋体"/>
          <w:b/>
          <w:szCs w:val="21"/>
          <w:highlight w:val="none"/>
        </w:rPr>
        <w:t>8、开标评标异常情况处理</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8</w:t>
      </w:r>
      <w:r>
        <w:rPr>
          <w:rFonts w:ascii="宋体" w:hAnsi="宋体" w:cs="宋体"/>
          <w:szCs w:val="21"/>
          <w:highlight w:val="none"/>
        </w:rPr>
        <w:t>.1</w:t>
      </w:r>
      <w:r>
        <w:rPr>
          <w:rFonts w:hint="eastAsia" w:ascii="宋体" w:hAnsi="宋体" w:cs="宋体"/>
          <w:szCs w:val="21"/>
          <w:highlight w:val="none"/>
        </w:rPr>
        <w:t>、在磋商采购中，出现下列情况之一的，应予废标，采购单位重新组织采购：</w:t>
      </w:r>
    </w:p>
    <w:p>
      <w:pPr>
        <w:spacing w:line="360" w:lineRule="auto"/>
        <w:ind w:firstLine="420" w:firstLineChars="200"/>
        <w:rPr>
          <w:rFonts w:ascii="宋体" w:cs="宋体"/>
          <w:szCs w:val="21"/>
          <w:highlight w:val="none"/>
        </w:rPr>
      </w:pPr>
      <w:r>
        <w:rPr>
          <w:rFonts w:ascii="宋体" w:hAnsi="宋体" w:cs="宋体"/>
          <w:szCs w:val="21"/>
          <w:highlight w:val="none"/>
        </w:rPr>
        <w:t xml:space="preserve">(1) </w:t>
      </w:r>
      <w:r>
        <w:rPr>
          <w:rFonts w:hint="eastAsia" w:ascii="宋体" w:hAnsi="宋体" w:cs="宋体"/>
          <w:szCs w:val="21"/>
          <w:highlight w:val="none"/>
        </w:rPr>
        <w:t>符合专业条件的供应商或者对磋商文件作实质响应的供应商不足三家的；</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ascii="宋体" w:hAnsi="宋体" w:cs="宋体"/>
          <w:szCs w:val="21"/>
          <w:highlight w:val="none"/>
        </w:rPr>
        <w:tab/>
      </w:r>
      <w:r>
        <w:rPr>
          <w:rFonts w:hint="eastAsia" w:ascii="宋体" w:hAnsi="宋体" w:cs="宋体"/>
          <w:szCs w:val="21"/>
          <w:highlight w:val="none"/>
        </w:rPr>
        <w:t>出现影响采购公正的违法、违规行为的；</w:t>
      </w:r>
    </w:p>
    <w:p>
      <w:pPr>
        <w:spacing w:line="360" w:lineRule="auto"/>
        <w:ind w:firstLine="420" w:firstLineChars="200"/>
        <w:rPr>
          <w:rFonts w:ascii="宋体" w:cs="宋体"/>
          <w:szCs w:val="21"/>
          <w:highlight w:val="none"/>
        </w:rPr>
      </w:pPr>
      <w:r>
        <w:rPr>
          <w:rFonts w:ascii="宋体" w:hAnsi="宋体" w:cs="宋体"/>
          <w:szCs w:val="21"/>
          <w:highlight w:val="none"/>
        </w:rPr>
        <w:t>(3)</w:t>
      </w:r>
      <w:r>
        <w:rPr>
          <w:rFonts w:ascii="宋体" w:hAnsi="宋体" w:cs="宋体"/>
          <w:szCs w:val="21"/>
          <w:highlight w:val="none"/>
        </w:rPr>
        <w:tab/>
      </w:r>
      <w:r>
        <w:rPr>
          <w:rFonts w:hint="eastAsia" w:ascii="宋体" w:hAnsi="宋体" w:cs="宋体"/>
          <w:szCs w:val="21"/>
          <w:highlight w:val="none"/>
        </w:rPr>
        <w:t>供应商的报价均超过了最高磋商限价，采购人不能支付的；</w:t>
      </w:r>
    </w:p>
    <w:p>
      <w:pPr>
        <w:spacing w:line="360" w:lineRule="auto"/>
        <w:ind w:firstLine="420" w:firstLineChars="200"/>
        <w:rPr>
          <w:rFonts w:ascii="宋体" w:hAnsi="宋体" w:cs="宋体"/>
          <w:szCs w:val="21"/>
          <w:highlight w:val="none"/>
        </w:rPr>
      </w:pPr>
      <w:r>
        <w:rPr>
          <w:rFonts w:ascii="宋体" w:hAnsi="宋体" w:cs="宋体"/>
          <w:szCs w:val="21"/>
          <w:highlight w:val="none"/>
        </w:rPr>
        <w:t>(4)</w:t>
      </w:r>
      <w:r>
        <w:rPr>
          <w:rFonts w:ascii="宋体" w:hAnsi="宋体" w:cs="宋体"/>
          <w:szCs w:val="21"/>
          <w:highlight w:val="none"/>
        </w:rPr>
        <w:tab/>
      </w:r>
      <w:r>
        <w:rPr>
          <w:rFonts w:hint="eastAsia" w:ascii="宋体" w:hAnsi="宋体" w:cs="宋体"/>
          <w:szCs w:val="21"/>
          <w:highlight w:val="none"/>
        </w:rPr>
        <w:t>因重大变故，采购任务取消的。</w:t>
      </w:r>
    </w:p>
    <w:p>
      <w:pPr>
        <w:spacing w:line="360" w:lineRule="auto"/>
        <w:ind w:firstLine="420" w:firstLineChars="200"/>
        <w:rPr>
          <w:rFonts w:ascii="宋体" w:cs="宋体"/>
          <w:szCs w:val="21"/>
          <w:highlight w:val="none"/>
        </w:rPr>
      </w:pPr>
      <w:r>
        <w:rPr>
          <w:rFonts w:hint="eastAsia" w:ascii="宋体" w:hAnsi="宋体"/>
          <w:szCs w:val="21"/>
          <w:highlight w:val="none"/>
        </w:rPr>
        <w:t>28.2、供应商的响应文件创建标识码、文件制作机器码任一项一致的将不予通过符合性评审，</w:t>
      </w:r>
      <w:r>
        <w:rPr>
          <w:rFonts w:ascii="宋体" w:hAnsi="宋体" w:cs="宋体"/>
          <w:kern w:val="0"/>
          <w:szCs w:val="21"/>
          <w:highlight w:val="none"/>
        </w:rPr>
        <w:t>并予以披露，记入不良行为记录</w:t>
      </w:r>
      <w:r>
        <w:rPr>
          <w:rFonts w:hint="eastAsia" w:ascii="宋体" w:hAnsi="宋体" w:cs="宋体"/>
          <w:kern w:val="0"/>
          <w:szCs w:val="21"/>
          <w:highlight w:val="none"/>
        </w:rPr>
        <w:t>。</w:t>
      </w:r>
    </w:p>
    <w:p>
      <w:pPr>
        <w:spacing w:line="360" w:lineRule="auto"/>
        <w:ind w:firstLine="422" w:firstLineChars="200"/>
        <w:rPr>
          <w:rFonts w:ascii="宋体" w:cs="宋体"/>
          <w:b/>
          <w:szCs w:val="21"/>
          <w:highlight w:val="none"/>
        </w:rPr>
      </w:pPr>
      <w:r>
        <w:rPr>
          <w:rFonts w:hint="eastAsia" w:ascii="宋体" w:hAnsi="宋体" w:cs="宋体"/>
          <w:b/>
          <w:szCs w:val="21"/>
          <w:highlight w:val="none"/>
        </w:rPr>
        <w:t>29、评标过程的保密性</w:t>
      </w:r>
    </w:p>
    <w:p>
      <w:pPr>
        <w:spacing w:line="360" w:lineRule="auto"/>
        <w:ind w:firstLine="420" w:firstLineChars="200"/>
        <w:rPr>
          <w:rFonts w:ascii="宋体" w:cs="宋体"/>
          <w:szCs w:val="21"/>
          <w:highlight w:val="none"/>
        </w:rPr>
      </w:pPr>
      <w:r>
        <w:rPr>
          <w:rFonts w:hint="eastAsia" w:ascii="宋体" w:hAnsi="宋体" w:cs="宋体"/>
          <w:szCs w:val="21"/>
          <w:highlight w:val="none"/>
        </w:rPr>
        <w:t>29</w:t>
      </w:r>
      <w:r>
        <w:rPr>
          <w:rFonts w:ascii="宋体" w:hAnsi="宋体" w:cs="宋体"/>
          <w:szCs w:val="21"/>
          <w:highlight w:val="none"/>
        </w:rPr>
        <w:t>.1</w:t>
      </w:r>
      <w:r>
        <w:rPr>
          <w:rFonts w:hint="eastAsia" w:ascii="宋体" w:hAnsi="宋体" w:cs="宋体"/>
          <w:szCs w:val="21"/>
          <w:highlight w:val="none"/>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highlight w:val="none"/>
        </w:rPr>
      </w:pPr>
      <w:r>
        <w:rPr>
          <w:rFonts w:hint="eastAsia" w:ascii="宋体" w:hAnsi="宋体" w:cs="宋体"/>
          <w:szCs w:val="21"/>
          <w:highlight w:val="none"/>
        </w:rPr>
        <w:t>29</w:t>
      </w:r>
      <w:r>
        <w:rPr>
          <w:rFonts w:ascii="宋体" w:hAnsi="宋体" w:cs="宋体"/>
          <w:szCs w:val="21"/>
          <w:highlight w:val="none"/>
        </w:rPr>
        <w:t>.2</w:t>
      </w:r>
      <w:r>
        <w:rPr>
          <w:rFonts w:hint="eastAsia" w:ascii="宋体" w:hAnsi="宋体" w:cs="宋体"/>
          <w:szCs w:val="21"/>
          <w:highlight w:val="none"/>
        </w:rPr>
        <w:t>、在评标过程中，供应商如向磋商小组成员施加任何影响，都将会导致其响应文件被拒绝。</w:t>
      </w:r>
    </w:p>
    <w:p>
      <w:pPr>
        <w:spacing w:line="360" w:lineRule="auto"/>
        <w:ind w:firstLine="420" w:firstLineChars="200"/>
        <w:rPr>
          <w:rFonts w:ascii="宋体" w:cs="宋体"/>
          <w:szCs w:val="21"/>
          <w:highlight w:val="none"/>
        </w:rPr>
      </w:pPr>
      <w:bookmarkStart w:id="84" w:name="_Toc23618"/>
      <w:r>
        <w:rPr>
          <w:rFonts w:hint="eastAsia" w:ascii="宋体" w:hAnsi="宋体" w:cs="宋体"/>
          <w:szCs w:val="21"/>
          <w:highlight w:val="none"/>
        </w:rPr>
        <w:t>29</w:t>
      </w:r>
      <w:r>
        <w:rPr>
          <w:rFonts w:ascii="宋体" w:hAnsi="宋体" w:cs="宋体"/>
          <w:szCs w:val="21"/>
          <w:highlight w:val="none"/>
        </w:rPr>
        <w:t>.3</w:t>
      </w:r>
      <w:r>
        <w:rPr>
          <w:rFonts w:hint="eastAsia" w:ascii="宋体" w:hAnsi="宋体" w:cs="宋体"/>
          <w:szCs w:val="21"/>
          <w:highlight w:val="none"/>
        </w:rPr>
        <w:t>、成交人确定后，采购单位不对未成交人就评标过程及未能成交原因做出任何解释。未成交人不得向磋商小组组成人员或其他有关人员询问评标过程的情况和要求提供材料。</w:t>
      </w:r>
      <w:bookmarkEnd w:id="84"/>
    </w:p>
    <w:p>
      <w:pPr>
        <w:keepNext w:val="0"/>
        <w:keepLines w:val="0"/>
        <w:pageBreakBefore w:val="0"/>
        <w:widowControl/>
        <w:kinsoku/>
        <w:wordWrap/>
        <w:overflowPunct/>
        <w:topLinePunct w:val="0"/>
        <w:autoSpaceDE/>
        <w:autoSpaceDN/>
        <w:bidi w:val="0"/>
        <w:adjustRightInd/>
        <w:snapToGrid/>
        <w:spacing w:line="360" w:lineRule="auto"/>
        <w:ind w:firstLine="405"/>
        <w:jc w:val="left"/>
        <w:textAlignment w:val="auto"/>
        <w:rPr>
          <w:rFonts w:hint="eastAsia" w:ascii="宋体" w:hAnsi="宋体" w:cs="宋体"/>
          <w:szCs w:val="21"/>
          <w:highlight w:val="none"/>
        </w:rPr>
      </w:pPr>
      <w:bookmarkStart w:id="85" w:name="_Toc417655921"/>
      <w:bookmarkStart w:id="86" w:name="_Toc418517858"/>
      <w:bookmarkStart w:id="87" w:name="_Toc26993"/>
      <w:bookmarkStart w:id="88" w:name="_Toc15032"/>
      <w:bookmarkStart w:id="89" w:name="_Toc3764"/>
      <w:r>
        <w:rPr>
          <w:rFonts w:hint="eastAsia" w:ascii="宋体" w:hAnsi="宋体" w:cs="宋体"/>
          <w:szCs w:val="21"/>
          <w:highlight w:val="none"/>
          <w:lang w:val="en-US" w:eastAsia="zh-CN"/>
        </w:rPr>
        <w:t>29.4.1、</w:t>
      </w:r>
      <w:r>
        <w:rPr>
          <w:rFonts w:hint="eastAsia" w:ascii="宋体" w:hAnsi="宋体" w:cs="宋体"/>
          <w:szCs w:val="21"/>
          <w:highlight w:val="none"/>
        </w:rPr>
        <w:t>招标代理费：按差额定率累进法计算。以成交价为计算基数，按下表规定的80%收取：</w:t>
      </w:r>
    </w:p>
    <w:p>
      <w:pPr>
        <w:pStyle w:val="24"/>
        <w:rPr>
          <w:rFonts w:hint="eastAsia" w:ascii="宋体" w:hAnsi="宋体" w:cs="宋体"/>
          <w:szCs w:val="21"/>
          <w:highlight w:val="none"/>
        </w:rPr>
      </w:pPr>
    </w:p>
    <w:p>
      <w:pPr>
        <w:pStyle w:val="24"/>
        <w:rPr>
          <w:rFonts w:hint="eastAsia" w:ascii="宋体" w:hAnsi="宋体" w:cs="宋体"/>
          <w:szCs w:val="21"/>
          <w:highlight w:val="none"/>
          <w:lang w:val="en-US" w:eastAsia="zh-CN"/>
        </w:rPr>
      </w:pPr>
    </w:p>
    <w:tbl>
      <w:tblPr>
        <w:tblStyle w:val="6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543" w:type="dxa"/>
          </w:tcPr>
          <w:p>
            <w:pP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22225</wp:posOffset>
                      </wp:positionV>
                      <wp:extent cx="2258060" cy="464185"/>
                      <wp:effectExtent l="1270" t="4445" r="7620" b="7620"/>
                      <wp:wrapNone/>
                      <wp:docPr id="2" name="直接连接符 2"/>
                      <wp:cNvGraphicFramePr/>
                      <a:graphic xmlns:a="http://schemas.openxmlformats.org/drawingml/2006/main">
                        <a:graphicData uri="http://schemas.microsoft.com/office/word/2010/wordprocessingShape">
                          <wps:wsp>
                            <wps:cNvCnPr/>
                            <wps:spPr>
                              <a:xfrm>
                                <a:off x="0" y="0"/>
                                <a:ext cx="2258060" cy="4641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1.75pt;height:36.55pt;width:177.8pt;z-index:251661312;mso-width-relative:page;mso-height-relative:page;" filled="f" stroked="t" coordsize="21600,21600" o:gfxdata="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as4wdgAAAAIAQAADwAAAAAAAAABACAAAAAiAAAAZHJzL2Rvd25yZXYueG1s&#10;UEsBAhQAFAAAAAgAh07iQEsh8dX4AQAA6QMAAA4AAAAAAAAAAQAgAAAAJwEAAGRycy9lMm9Eb2Mu&#10;eG1sUEsFBgAAAAAGAAYAWQEAAJEFA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费率</w:t>
            </w:r>
          </w:p>
          <w:p>
            <w:pPr>
              <w:rPr>
                <w:rFonts w:ascii="宋体" w:hAnsi="宋体" w:cs="宋体"/>
                <w:color w:val="auto"/>
                <w:szCs w:val="21"/>
                <w:highlight w:val="none"/>
              </w:rPr>
            </w:pPr>
            <w:r>
              <w:rPr>
                <w:rFonts w:hint="eastAsia" w:ascii="宋体" w:hAnsi="宋体" w:cs="宋体"/>
                <w:color w:val="auto"/>
                <w:szCs w:val="21"/>
                <w:highlight w:val="none"/>
              </w:rPr>
              <w:t>成交价</w:t>
            </w:r>
          </w:p>
        </w:tc>
        <w:tc>
          <w:tcPr>
            <w:tcW w:w="38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100万元以下</w:t>
            </w:r>
          </w:p>
        </w:tc>
        <w:tc>
          <w:tcPr>
            <w:tcW w:w="3860"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100～500万元</w:t>
            </w:r>
          </w:p>
        </w:tc>
        <w:tc>
          <w:tcPr>
            <w:tcW w:w="3860"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500～1000万元</w:t>
            </w:r>
          </w:p>
        </w:tc>
        <w:tc>
          <w:tcPr>
            <w:tcW w:w="3860"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1000～5000万元</w:t>
            </w:r>
          </w:p>
        </w:tc>
        <w:tc>
          <w:tcPr>
            <w:tcW w:w="3860"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5000万元～1亿元</w:t>
            </w:r>
          </w:p>
        </w:tc>
        <w:tc>
          <w:tcPr>
            <w:tcW w:w="3860"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1～5亿元</w:t>
            </w:r>
          </w:p>
        </w:tc>
        <w:tc>
          <w:tcPr>
            <w:tcW w:w="3860" w:type="dxa"/>
          </w:tcPr>
          <w:p>
            <w:pPr>
              <w:jc w:val="center"/>
              <w:rPr>
                <w:rFonts w:ascii="宋体" w:hAnsi="宋体" w:cs="宋体"/>
                <w:color w:val="auto"/>
                <w:szCs w:val="21"/>
                <w:highlight w:val="none"/>
              </w:rPr>
            </w:pPr>
            <w:r>
              <w:rPr>
                <w:rFonts w:hint="eastAsia" w:ascii="宋体" w:hAnsi="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5～10亿元</w:t>
            </w:r>
          </w:p>
        </w:tc>
        <w:tc>
          <w:tcPr>
            <w:tcW w:w="3860"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10～50亿元</w:t>
            </w:r>
          </w:p>
        </w:tc>
        <w:tc>
          <w:tcPr>
            <w:tcW w:w="3860"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50～100亿元</w:t>
            </w:r>
          </w:p>
        </w:tc>
        <w:tc>
          <w:tcPr>
            <w:tcW w:w="3860"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543" w:type="dxa"/>
          </w:tcPr>
          <w:p>
            <w:pPr>
              <w:rPr>
                <w:rFonts w:ascii="宋体" w:hAnsi="宋体" w:cs="宋体"/>
                <w:color w:val="auto"/>
                <w:szCs w:val="21"/>
                <w:highlight w:val="none"/>
              </w:rPr>
            </w:pPr>
            <w:r>
              <w:rPr>
                <w:rFonts w:hint="eastAsia" w:ascii="宋体" w:hAnsi="宋体" w:cs="宋体"/>
                <w:color w:val="auto"/>
                <w:szCs w:val="21"/>
                <w:highlight w:val="none"/>
              </w:rPr>
              <w:t>100亿以上</w:t>
            </w:r>
          </w:p>
        </w:tc>
        <w:tc>
          <w:tcPr>
            <w:tcW w:w="3860"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pPr>
        <w:pStyle w:val="33"/>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29.4.2、</w:t>
      </w:r>
      <w:r>
        <w:rPr>
          <w:rFonts w:hint="eastAsia" w:ascii="宋体" w:hAnsi="宋体" w:eastAsia="宋体" w:cs="宋体"/>
          <w:color w:val="auto"/>
          <w:highlight w:val="none"/>
        </w:rPr>
        <w:t>工程量清单和</w:t>
      </w:r>
      <w:r>
        <w:rPr>
          <w:rFonts w:hint="eastAsia" w:hAnsi="宋体" w:eastAsia="宋体" w:cs="宋体"/>
          <w:color w:val="auto"/>
          <w:highlight w:val="none"/>
          <w:lang w:eastAsia="zh-CN"/>
        </w:rPr>
        <w:t>最高投标限价</w:t>
      </w:r>
      <w:r>
        <w:rPr>
          <w:rFonts w:hint="eastAsia" w:ascii="宋体" w:hAnsi="宋体" w:eastAsia="宋体" w:cs="宋体"/>
          <w:color w:val="auto"/>
          <w:highlight w:val="none"/>
        </w:rPr>
        <w:t>编制费：以</w:t>
      </w:r>
      <w:r>
        <w:rPr>
          <w:rFonts w:hint="eastAsia" w:ascii="宋体" w:hAnsi="宋体" w:eastAsia="宋体" w:cs="宋体"/>
          <w:color w:val="auto"/>
          <w:highlight w:val="none"/>
          <w:lang w:eastAsia="zh-CN"/>
        </w:rPr>
        <w:t>成交价</w:t>
      </w:r>
      <w:r>
        <w:rPr>
          <w:rFonts w:hint="eastAsia" w:ascii="宋体" w:hAnsi="宋体" w:eastAsia="宋体" w:cs="宋体"/>
          <w:color w:val="auto"/>
          <w:highlight w:val="none"/>
        </w:rPr>
        <w:t>为计算基数，按照</w:t>
      </w:r>
      <w:r>
        <w:rPr>
          <w:rFonts w:hint="eastAsia" w:ascii="宋体" w:hAnsi="宋体" w:eastAsia="宋体" w:cs="宋体"/>
          <w:color w:val="auto"/>
          <w:highlight w:val="none"/>
          <w:lang w:val="en-US" w:eastAsia="zh-CN"/>
        </w:rPr>
        <w:t>下表</w:t>
      </w:r>
      <w:r>
        <w:rPr>
          <w:rFonts w:hint="eastAsia" w:ascii="宋体" w:hAnsi="宋体" w:eastAsia="宋体" w:cs="宋体"/>
          <w:color w:val="auto"/>
          <w:highlight w:val="none"/>
        </w:rPr>
        <w:t>规定标准70%收取。</w:t>
      </w:r>
    </w:p>
    <w:tbl>
      <w:tblPr>
        <w:tblStyle w:val="63"/>
        <w:tblW w:w="0" w:type="auto"/>
        <w:jc w:val="center"/>
        <w:tblLayout w:type="fixed"/>
        <w:tblCellMar>
          <w:top w:w="0" w:type="dxa"/>
          <w:left w:w="0" w:type="dxa"/>
          <w:bottom w:w="0" w:type="dxa"/>
          <w:right w:w="0" w:type="dxa"/>
        </w:tblCellMar>
      </w:tblPr>
      <w:tblGrid>
        <w:gridCol w:w="1723"/>
        <w:gridCol w:w="837"/>
        <w:gridCol w:w="941"/>
        <w:gridCol w:w="579"/>
        <w:gridCol w:w="547"/>
        <w:gridCol w:w="588"/>
        <w:gridCol w:w="631"/>
        <w:gridCol w:w="575"/>
        <w:gridCol w:w="589"/>
        <w:gridCol w:w="727"/>
        <w:gridCol w:w="773"/>
      </w:tblGrid>
      <w:tr>
        <w:tblPrEx>
          <w:tblCellMar>
            <w:top w:w="0" w:type="dxa"/>
            <w:left w:w="0" w:type="dxa"/>
            <w:bottom w:w="0" w:type="dxa"/>
            <w:right w:w="0" w:type="dxa"/>
          </w:tblCellMar>
        </w:tblPrEx>
        <w:trPr>
          <w:trHeight w:val="546" w:hRule="atLeast"/>
          <w:jc w:val="center"/>
        </w:trPr>
        <w:tc>
          <w:tcPr>
            <w:tcW w:w="2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收费基础</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工程类型</w:t>
            </w:r>
          </w:p>
        </w:tc>
        <w:tc>
          <w:tcPr>
            <w:tcW w:w="500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单位工程金额(万元)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Cs/>
                <w:color w:val="auto"/>
                <w:sz w:val="21"/>
                <w:highlight w:val="none"/>
              </w:rPr>
              <w:t xml:space="preserve">费率：‰ </w:t>
            </w:r>
          </w:p>
        </w:tc>
      </w:tr>
      <w:tr>
        <w:tblPrEx>
          <w:tblCellMar>
            <w:top w:w="0" w:type="dxa"/>
            <w:left w:w="0" w:type="dxa"/>
            <w:bottom w:w="0" w:type="dxa"/>
            <w:right w:w="0" w:type="dxa"/>
          </w:tblCellMar>
        </w:tblPrEx>
        <w:trPr>
          <w:trHeight w:val="953" w:hRule="atLeast"/>
          <w:jc w:val="center"/>
        </w:trPr>
        <w:tc>
          <w:tcPr>
            <w:tcW w:w="2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p>
        </w:tc>
        <w:tc>
          <w:tcPr>
            <w:tcW w:w="57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4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63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8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7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w:t>
            </w:r>
          </w:p>
        </w:tc>
      </w:tr>
      <w:tr>
        <w:tblPrEx>
          <w:tblCellMar>
            <w:top w:w="0" w:type="dxa"/>
            <w:left w:w="0" w:type="dxa"/>
            <w:bottom w:w="0" w:type="dxa"/>
            <w:right w:w="0" w:type="dxa"/>
          </w:tblCellMar>
        </w:tblPrEx>
        <w:trPr>
          <w:trHeight w:val="546" w:hRule="atLeast"/>
          <w:jc w:val="center"/>
        </w:trPr>
        <w:tc>
          <w:tcPr>
            <w:tcW w:w="172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工程量清单编制</w:t>
            </w:r>
          </w:p>
        </w:tc>
        <w:tc>
          <w:tcPr>
            <w:tcW w:w="83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成交价</w:t>
            </w:r>
          </w:p>
        </w:tc>
        <w:tc>
          <w:tcPr>
            <w:tcW w:w="9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57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54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5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63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5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7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r>
      <w:tr>
        <w:tblPrEx>
          <w:tblCellMar>
            <w:top w:w="0" w:type="dxa"/>
            <w:left w:w="0" w:type="dxa"/>
            <w:bottom w:w="0" w:type="dxa"/>
            <w:right w:w="0" w:type="dxa"/>
          </w:tblCellMar>
        </w:tblPrEx>
        <w:trPr>
          <w:trHeight w:val="546" w:hRule="atLeast"/>
          <w:jc w:val="center"/>
        </w:trPr>
        <w:tc>
          <w:tcPr>
            <w:tcW w:w="172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p>
        </w:tc>
        <w:tc>
          <w:tcPr>
            <w:tcW w:w="8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r>
      <w:tr>
        <w:tblPrEx>
          <w:tblCellMar>
            <w:top w:w="0" w:type="dxa"/>
            <w:left w:w="0" w:type="dxa"/>
            <w:bottom w:w="0" w:type="dxa"/>
            <w:right w:w="0" w:type="dxa"/>
          </w:tblCellMar>
        </w:tblPrEx>
        <w:trPr>
          <w:trHeight w:val="544" w:hRule="atLeast"/>
          <w:jc w:val="center"/>
        </w:trPr>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最高投标限价</w:t>
            </w:r>
          </w:p>
        </w:tc>
        <w:tc>
          <w:tcPr>
            <w:tcW w:w="8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成交价</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CellMar>
            <w:top w:w="0" w:type="dxa"/>
            <w:left w:w="0" w:type="dxa"/>
            <w:bottom w:w="0" w:type="dxa"/>
            <w:right w:w="0" w:type="dxa"/>
          </w:tblCellMar>
        </w:tblPrEx>
        <w:trPr>
          <w:trHeight w:val="544" w:hRule="atLeast"/>
          <w:jc w:val="center"/>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highlight w:val="none"/>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r>
      <w:tr>
        <w:tblPrEx>
          <w:tblCellMar>
            <w:top w:w="0" w:type="dxa"/>
            <w:left w:w="0" w:type="dxa"/>
            <w:bottom w:w="0" w:type="dxa"/>
            <w:right w:w="0" w:type="dxa"/>
          </w:tblCellMar>
        </w:tblPrEx>
        <w:trPr>
          <w:trHeight w:val="566" w:hRule="atLeast"/>
          <w:jc w:val="center"/>
        </w:trPr>
        <w:tc>
          <w:tcPr>
            <w:tcW w:w="3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钢筋及预埋件计算</w:t>
            </w:r>
          </w:p>
        </w:tc>
        <w:tc>
          <w:tcPr>
            <w:tcW w:w="50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10元/吨</w:t>
            </w:r>
          </w:p>
        </w:tc>
      </w:tr>
    </w:tbl>
    <w:p>
      <w:pPr>
        <w:pStyle w:val="33"/>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说明：</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上述</w:t>
      </w:r>
      <w:r>
        <w:rPr>
          <w:rFonts w:hint="eastAsia" w:ascii="宋体" w:hAnsi="宋体" w:eastAsia="宋体" w:cs="宋体"/>
          <w:color w:val="auto"/>
          <w:highlight w:val="none"/>
        </w:rPr>
        <w:t>收费标准</w:t>
      </w:r>
      <w:r>
        <w:rPr>
          <w:rFonts w:hint="eastAsia" w:ascii="宋体" w:hAnsi="宋体" w:eastAsia="宋体" w:cs="宋体"/>
          <w:color w:val="auto"/>
          <w:highlight w:val="none"/>
          <w:lang w:eastAsia="zh-CN"/>
        </w:rPr>
        <w:t>计算</w:t>
      </w:r>
      <w:r>
        <w:rPr>
          <w:rFonts w:hint="eastAsia" w:ascii="宋体" w:hAnsi="宋体" w:eastAsia="宋体" w:cs="宋体"/>
          <w:color w:val="auto"/>
          <w:highlight w:val="none"/>
        </w:rPr>
        <w:t>不足1000元的，按1000元计费。</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“建筑工程”适用建筑工程及配套的装饰工程、安装工程；市政工程等。“安装工程”适用单独安装工程、装饰工程（含二次装饰装修）；房屋修缮；园林绿化及仿古建筑工程等。</w:t>
      </w:r>
    </w:p>
    <w:p>
      <w:pPr>
        <w:spacing w:line="360" w:lineRule="auto"/>
        <w:ind w:firstLine="420" w:firstLineChars="200"/>
        <w:rPr>
          <w:rFonts w:ascii="宋体" w:hAnsi="宋体" w:cs="宋体"/>
          <w:szCs w:val="21"/>
          <w:highlight w:val="none"/>
        </w:rPr>
      </w:pP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应在收到缴费通知后三日内按磋商文件要求缴纳招标代理费、工程量清单和最高投标限价编制费。完成缴费后请</w:t>
      </w:r>
      <w:r>
        <w:rPr>
          <w:rFonts w:ascii="宋体" w:hAnsi="宋体" w:cs="宋体"/>
          <w:color w:val="auto"/>
          <w:szCs w:val="21"/>
          <w:highlight w:val="none"/>
        </w:rPr>
        <w:t>在</w:t>
      </w:r>
      <w:r>
        <w:rPr>
          <w:rFonts w:hint="eastAsia" w:ascii="宋体" w:hAnsi="宋体" w:cs="宋体"/>
          <w:color w:val="auto"/>
          <w:szCs w:val="21"/>
          <w:highlight w:val="none"/>
        </w:rPr>
        <w:t>7</w:t>
      </w:r>
      <w:r>
        <w:rPr>
          <w:rFonts w:ascii="宋体" w:hAnsi="宋体" w:cs="宋体"/>
          <w:color w:val="auto"/>
          <w:szCs w:val="21"/>
          <w:highlight w:val="none"/>
        </w:rPr>
        <w:t>个工作日内前来开具增值税发票，逾期按普票开具，不再开具专票。</w:t>
      </w:r>
    </w:p>
    <w:p>
      <w:pPr>
        <w:rPr>
          <w:rFonts w:cs="宋体"/>
          <w:highlight w:val="none"/>
        </w:rPr>
      </w:pPr>
      <w:r>
        <w:rPr>
          <w:rFonts w:cs="宋体"/>
          <w:highlight w:val="none"/>
        </w:rPr>
        <w:t xml:space="preserve">    </w:t>
      </w:r>
      <w:bookmarkStart w:id="90" w:name="_Toc6762"/>
      <w:bookmarkStart w:id="91" w:name="_Toc4638"/>
      <w:bookmarkStart w:id="92" w:name="_Toc15512"/>
      <w:bookmarkStart w:id="93" w:name="_Toc2498"/>
      <w:bookmarkStart w:id="94" w:name="_Toc21769"/>
      <w:bookmarkStart w:id="95" w:name="_Toc476584428"/>
      <w:bookmarkStart w:id="96" w:name="_Toc10691"/>
      <w:r>
        <w:rPr>
          <w:rFonts w:hint="eastAsia" w:cs="宋体"/>
          <w:highlight w:val="none"/>
        </w:rPr>
        <w:t>29</w:t>
      </w:r>
      <w:r>
        <w:rPr>
          <w:rFonts w:cs="宋体"/>
          <w:highlight w:val="none"/>
        </w:rPr>
        <w:t>.5</w:t>
      </w:r>
      <w:r>
        <w:rPr>
          <w:rFonts w:hint="eastAsia" w:cs="宋体"/>
          <w:highlight w:val="none"/>
        </w:rPr>
        <w:t>、成交通知书</w:t>
      </w:r>
      <w:bookmarkEnd w:id="85"/>
      <w:bookmarkEnd w:id="86"/>
      <w:bookmarkEnd w:id="87"/>
      <w:bookmarkEnd w:id="88"/>
      <w:bookmarkEnd w:id="89"/>
      <w:bookmarkEnd w:id="90"/>
      <w:bookmarkEnd w:id="91"/>
      <w:bookmarkEnd w:id="92"/>
      <w:bookmarkEnd w:id="93"/>
      <w:bookmarkEnd w:id="94"/>
      <w:bookmarkEnd w:id="95"/>
      <w:bookmarkEnd w:id="96"/>
    </w:p>
    <w:p>
      <w:pPr>
        <w:pStyle w:val="58"/>
        <w:widowControl w:val="0"/>
        <w:spacing w:before="0" w:beforeAutospacing="0" w:after="0" w:afterAutospacing="0" w:line="400" w:lineRule="exact"/>
        <w:ind w:firstLine="420" w:firstLineChars="20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采购人在评审报告推荐的成交候选人中按顺序确定成交人。采购人将向成交人发出成交通知书，并在安徽省政府采购网</w:t>
      </w:r>
      <w:r>
        <w:rPr>
          <w:rFonts w:hint="eastAsia" w:ascii="宋体" w:hAnsi="宋体" w:eastAsia="宋体" w:cs="Times New Roman"/>
          <w:kern w:val="2"/>
          <w:sz w:val="21"/>
          <w:szCs w:val="21"/>
          <w:highlight w:val="none"/>
          <w:lang w:eastAsia="zh-CN"/>
        </w:rPr>
        <w:t>、</w:t>
      </w:r>
      <w:r>
        <w:rPr>
          <w:rFonts w:hint="eastAsia" w:ascii="宋体" w:hAnsi="宋体" w:eastAsia="宋体" w:cs="Times New Roman"/>
          <w:kern w:val="2"/>
          <w:sz w:val="21"/>
          <w:szCs w:val="21"/>
          <w:highlight w:val="none"/>
        </w:rPr>
        <w:t>安庆市公共资源交易服务网、安庆市政府信息公开网、安徽省招标投标信息网上公告成交结果。供应商如有质疑、投诉，必须在成交公告约定的质疑、投诉期内以书面形式向有关机构提出。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29.6、根据相关规定，对中标或成交结果提出质疑的，为中标或成交结果公告期限届满之日起七个工作日内以书面形式向采购人提出。建议在成交公告质疑期满（无异议）后，采购人与成交人签订采购合同。</w:t>
      </w:r>
    </w:p>
    <w:p>
      <w:pPr>
        <w:spacing w:line="360" w:lineRule="auto"/>
        <w:ind w:firstLine="420" w:firstLineChars="200"/>
        <w:rPr>
          <w:rFonts w:hint="eastAsia" w:ascii="宋体" w:hAnsi="宋体" w:eastAsia="宋体" w:cs="宋体"/>
          <w:color w:val="auto"/>
          <w:highlight w:val="none"/>
        </w:rPr>
      </w:pPr>
      <w:bookmarkStart w:id="97" w:name="_Toc54941338"/>
      <w:r>
        <w:rPr>
          <w:rFonts w:hint="eastAsia" w:ascii="宋体" w:hAnsi="宋体" w:eastAsia="宋体" w:cs="宋体"/>
          <w:color w:val="auto"/>
          <w:highlight w:val="none"/>
        </w:rPr>
        <w:t>七、合同授予</w:t>
      </w:r>
      <w:bookmarkEnd w:id="97"/>
    </w:p>
    <w:p>
      <w:pPr>
        <w:spacing w:line="360" w:lineRule="auto"/>
        <w:ind w:firstLine="420" w:firstLineChars="200"/>
        <w:rPr>
          <w:rFonts w:hint="eastAsia" w:ascii="宋体" w:hAnsi="宋体" w:eastAsia="宋体" w:cs="宋体"/>
          <w:color w:val="auto"/>
          <w:highlight w:val="none"/>
        </w:rPr>
      </w:pPr>
      <w:bookmarkStart w:id="98" w:name="_Toc18179"/>
      <w:bookmarkStart w:id="99" w:name="_Toc15562"/>
      <w:bookmarkStart w:id="100" w:name="_Toc28577"/>
      <w:bookmarkStart w:id="101" w:name="_Toc3632"/>
      <w:bookmarkStart w:id="102" w:name="_Toc417655923"/>
      <w:bookmarkStart w:id="103" w:name="_Toc418517860"/>
      <w:bookmarkStart w:id="104" w:name="_Toc21358"/>
      <w:bookmarkStart w:id="105" w:name="_Toc16466"/>
      <w:bookmarkStart w:id="106" w:name="_Toc3930"/>
      <w:bookmarkStart w:id="107" w:name="_Toc476584429"/>
      <w:bookmarkStart w:id="108" w:name="_Toc22183"/>
      <w:bookmarkStart w:id="109" w:name="_Toc24860"/>
      <w:r>
        <w:rPr>
          <w:rFonts w:hint="eastAsia" w:ascii="宋体" w:hAnsi="宋体" w:eastAsia="宋体" w:cs="宋体"/>
          <w:color w:val="auto"/>
          <w:highlight w:val="none"/>
        </w:rPr>
        <w:t>30、签订合同</w:t>
      </w:r>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30.1.1、成交人的成交价即为合同价款。</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30.1.2、成交人在收到成交通知书起</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个工作日内，与采购人签订合同。采购人应在合同签订之日起2个工作日内将所有合同报</w:t>
      </w:r>
      <w:r>
        <w:rPr>
          <w:rFonts w:hint="eastAsia" w:ascii="宋体" w:hAnsi="宋体" w:eastAsia="宋体" w:cs="宋体"/>
          <w:color w:val="auto"/>
          <w:highlight w:val="none"/>
          <w:lang w:val="en-US" w:eastAsia="zh-CN"/>
        </w:rPr>
        <w:t>监督管理部门</w:t>
      </w:r>
      <w:r>
        <w:rPr>
          <w:rFonts w:hint="eastAsia" w:ascii="宋体" w:hAnsi="宋体" w:eastAsia="宋体" w:cs="宋体"/>
          <w:color w:val="auto"/>
          <w:highlight w:val="none"/>
        </w:rPr>
        <w:t>备案并公开。</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30.1.3、成交人拒绝与采购人签订合同的，采购人可以按照评审报告推荐的成交候选人名单排序，确定下一候选人为成交人，也可以重新开展政府采购活动。。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30.1.4采购单位对在</w:t>
      </w:r>
      <w:r>
        <w:rPr>
          <w:rFonts w:hint="eastAsia" w:ascii="宋体" w:hAnsi="宋体" w:eastAsia="宋体" w:cs="宋体"/>
          <w:color w:val="auto"/>
          <w:highlight w:val="none"/>
          <w:lang w:val="en-US" w:eastAsia="zh-CN"/>
        </w:rPr>
        <w:t>监督管理部门</w:t>
      </w:r>
      <w:r>
        <w:rPr>
          <w:rFonts w:hint="eastAsia" w:ascii="宋体" w:hAnsi="宋体" w:eastAsia="宋体" w:cs="宋体"/>
          <w:color w:val="auto"/>
          <w:highlight w:val="none"/>
        </w:rPr>
        <w:t>完成备案的项目合同在安庆市公共资源交易服务网、安庆市政府信息公开网等网站进行公告。为遵守保密规定，对涉及国家秘密和商业秘密而不应公示的内容，采购人应当在提交采购合同到</w:t>
      </w:r>
      <w:r>
        <w:rPr>
          <w:rFonts w:hint="eastAsia" w:ascii="宋体" w:hAnsi="宋体" w:eastAsia="宋体" w:cs="宋体"/>
          <w:color w:val="auto"/>
          <w:highlight w:val="none"/>
          <w:lang w:val="en-US" w:eastAsia="zh-CN"/>
        </w:rPr>
        <w:t>监督管理部门</w:t>
      </w:r>
      <w:r>
        <w:rPr>
          <w:rFonts w:hint="eastAsia" w:ascii="宋体" w:hAnsi="宋体" w:eastAsia="宋体" w:cs="宋体"/>
          <w:color w:val="auto"/>
          <w:highlight w:val="none"/>
        </w:rPr>
        <w:t>备案的同时，提供财政</w:t>
      </w:r>
      <w:r>
        <w:rPr>
          <w:rFonts w:hint="eastAsia" w:ascii="宋体" w:hAnsi="宋体" w:eastAsia="宋体" w:cs="宋体"/>
          <w:color w:val="auto"/>
          <w:highlight w:val="none"/>
          <w:lang w:val="en-US" w:eastAsia="zh-CN"/>
        </w:rPr>
        <w:t>部门</w:t>
      </w:r>
      <w:r>
        <w:rPr>
          <w:rFonts w:hint="eastAsia" w:ascii="宋体" w:hAnsi="宋体" w:eastAsia="宋体" w:cs="宋体"/>
          <w:color w:val="auto"/>
          <w:highlight w:val="none"/>
        </w:rPr>
        <w:t>书面同意不予公告的相关证明，否则视为采购人委托</w:t>
      </w:r>
      <w:r>
        <w:rPr>
          <w:rFonts w:hint="eastAsia" w:ascii="宋体" w:hAnsi="宋体" w:eastAsia="宋体" w:cs="宋体"/>
          <w:color w:val="auto"/>
          <w:highlight w:val="none"/>
          <w:lang w:val="en-US" w:eastAsia="zh-CN"/>
        </w:rPr>
        <w:t>采购代理机构</w:t>
      </w:r>
      <w:r>
        <w:rPr>
          <w:rFonts w:hint="eastAsia" w:ascii="宋体" w:hAnsi="宋体" w:eastAsia="宋体" w:cs="宋体"/>
          <w:color w:val="auto"/>
          <w:highlight w:val="none"/>
        </w:rPr>
        <w:t>将采购合同依法进行公告。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31、履约保证金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31.1、成交人在签订合同前必须按磋商文件的约定，及时、足额向采购人提交履约保证金。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31.2、若成交人不能按须知前附表执行，采购人可在无须征得成交人同意的情况下，不与其签订合同。给采购单位造成的损失，成交人还应当予以赔偿。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31.3、履约保证金按合同条款约定退还。</w:t>
      </w:r>
    </w:p>
    <w:p>
      <w:pPr>
        <w:widowControl/>
        <w:spacing w:line="500" w:lineRule="exact"/>
        <w:ind w:firstLine="422" w:firstLineChars="200"/>
        <w:jc w:val="left"/>
        <w:rPr>
          <w:rFonts w:ascii="宋体" w:hAnsi="宋体"/>
          <w:b/>
          <w:bCs/>
          <w:szCs w:val="21"/>
          <w:highlight w:val="none"/>
        </w:rPr>
      </w:pPr>
      <w:r>
        <w:rPr>
          <w:rFonts w:hint="eastAsia" w:ascii="宋体" w:hAnsi="宋体"/>
          <w:b/>
          <w:bCs/>
          <w:szCs w:val="21"/>
          <w:highlight w:val="none"/>
        </w:rPr>
        <w:t>32、质疑和投诉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cs="宋体"/>
          <w:color w:val="auto"/>
          <w:highlight w:val="none"/>
          <w:lang w:eastAsia="zh-CN"/>
        </w:rPr>
        <w:t>供应商</w:t>
      </w:r>
      <w:r>
        <w:rPr>
          <w:rFonts w:hint="eastAsia" w:ascii="宋体" w:hAnsi="宋体" w:eastAsia="宋体" w:cs="宋体"/>
          <w:color w:val="auto"/>
          <w:highlight w:val="none"/>
        </w:rPr>
        <w:t>认为磋商文件、采购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32.2质疑供应商应当是参与所质疑项目采购活动的供应商。质疑供应商应按照财政部制定的《政府采购供应商质疑函范本》格式（详见磋商文件第六章）和《政府采购质疑和投诉办法》的要求，在法定质疑期内以书面或电子形式提出质疑，超出法定质疑期提交的质疑将被拒绝。针对同一采购程序环节的质疑应一次性提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32.3采购代理机构质疑函接收部门、联系电话和通讯地址，见</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32.4质疑供应商对采购人、采购代理机构的答复不满意， 或采购人、采购代理机构未在规定时间内做出答复的，可以在答复期满后 15 个工作日内向监督管理部门提起投诉。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33、未尽事宜</w:t>
      </w:r>
    </w:p>
    <w:p>
      <w:pPr>
        <w:spacing w:line="360" w:lineRule="auto"/>
        <w:ind w:firstLine="420" w:firstLineChars="200"/>
        <w:rPr>
          <w:rFonts w:ascii="宋体" w:cs="宋体"/>
          <w:b/>
          <w:bCs/>
          <w:snapToGrid w:val="0"/>
          <w:kern w:val="0"/>
          <w:sz w:val="32"/>
          <w:szCs w:val="32"/>
          <w:highlight w:val="none"/>
        </w:rPr>
      </w:pPr>
      <w:r>
        <w:rPr>
          <w:rFonts w:hint="eastAsia" w:ascii="宋体" w:hAnsi="宋体" w:eastAsia="宋体" w:cs="宋体"/>
          <w:color w:val="auto"/>
          <w:highlight w:val="none"/>
        </w:rPr>
        <w:t>依据《政府采购竞争性磋商采购方式管理暂行办法》并参照《中华人民共和国政府采购法》、《中华人民共和国政府采购法实施条例》及其他有关法律法规规定执行。</w:t>
      </w:r>
    </w:p>
    <w:p>
      <w:pPr>
        <w:rPr>
          <w:rFonts w:eastAsia="仿宋_GB2312"/>
          <w:sz w:val="28"/>
          <w:szCs w:val="28"/>
          <w:highlight w:val="none"/>
        </w:rPr>
      </w:pPr>
      <w:r>
        <w:rPr>
          <w:rFonts w:ascii="宋体" w:cs="宋体"/>
          <w:b/>
          <w:bCs/>
          <w:snapToGrid w:val="0"/>
          <w:kern w:val="0"/>
          <w:sz w:val="32"/>
          <w:szCs w:val="32"/>
          <w:highlight w:val="none"/>
        </w:rPr>
        <w:br w:type="page"/>
      </w:r>
    </w:p>
    <w:p>
      <w:pPr>
        <w:pStyle w:val="3"/>
        <w:ind w:left="0" w:leftChars="0" w:firstLine="3213" w:firstLineChars="1000"/>
        <w:jc w:val="both"/>
        <w:rPr>
          <w:rFonts w:hint="eastAsia" w:ascii="宋体" w:hAnsi="宋体" w:cs="宋体"/>
          <w:color w:val="auto"/>
          <w:highlight w:val="none"/>
        </w:rPr>
      </w:pPr>
      <w:bookmarkStart w:id="110" w:name="_Toc54941340"/>
      <w:bookmarkStart w:id="111" w:name="_Toc10569"/>
      <w:bookmarkStart w:id="112" w:name="_Toc8866"/>
      <w:r>
        <w:rPr>
          <w:rFonts w:hint="eastAsia" w:ascii="Arial" w:hAnsi="Arial"/>
          <w:kern w:val="2"/>
          <w:sz w:val="32"/>
          <w:szCs w:val="32"/>
          <w:highlight w:val="none"/>
        </w:rPr>
        <w:t>第</w:t>
      </w:r>
      <w:r>
        <w:rPr>
          <w:rFonts w:hint="eastAsia" w:ascii="Arial" w:hAnsi="Arial"/>
          <w:kern w:val="2"/>
          <w:sz w:val="32"/>
          <w:szCs w:val="32"/>
          <w:highlight w:val="none"/>
          <w:lang w:val="en-US" w:eastAsia="zh-CN"/>
        </w:rPr>
        <w:t>三</w:t>
      </w:r>
      <w:r>
        <w:rPr>
          <w:rFonts w:hint="eastAsia" w:ascii="Arial" w:hAnsi="Arial"/>
          <w:kern w:val="2"/>
          <w:sz w:val="32"/>
          <w:szCs w:val="32"/>
          <w:highlight w:val="none"/>
        </w:rPr>
        <w:t xml:space="preserve">章     </w:t>
      </w:r>
      <w:bookmarkEnd w:id="110"/>
      <w:bookmarkEnd w:id="111"/>
      <w:r>
        <w:rPr>
          <w:rFonts w:hint="eastAsia" w:ascii="Arial" w:hAnsi="Arial"/>
          <w:kern w:val="2"/>
          <w:sz w:val="32"/>
          <w:szCs w:val="32"/>
          <w:highlight w:val="none"/>
        </w:rPr>
        <w:t>合同条款</w:t>
      </w:r>
      <w:bookmarkEnd w:id="112"/>
    </w:p>
    <w:p>
      <w:pPr>
        <w:pStyle w:val="425"/>
        <w:pageBreakBefore w:val="0"/>
        <w:kinsoku/>
        <w:wordWrap/>
        <w:overflowPunct/>
        <w:topLinePunct w:val="0"/>
        <w:bidi w:val="0"/>
        <w:spacing w:before="0" w:beforeLines="0" w:beforeAutospacing="0" w:after="0" w:afterLines="0" w:afterAutospacing="0" w:line="240" w:lineRule="auto"/>
        <w:ind w:left="0" w:right="0" w:firstLine="643"/>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建设工程施工合同（</w:t>
      </w:r>
      <w:r>
        <w:rPr>
          <w:rFonts w:hint="eastAsia" w:ascii="宋体" w:hAnsi="宋体" w:eastAsia="宋体" w:cs="宋体"/>
          <w:bCs/>
          <w:color w:val="auto"/>
          <w:sz w:val="32"/>
          <w:szCs w:val="32"/>
          <w:highlight w:val="none"/>
        </w:rPr>
        <w:t>GF—201</w:t>
      </w:r>
      <w:r>
        <w:rPr>
          <w:rFonts w:hint="eastAsia" w:ascii="宋体" w:hAnsi="宋体" w:eastAsia="宋体" w:cs="宋体"/>
          <w:bCs/>
          <w:color w:val="auto"/>
          <w:sz w:val="32"/>
          <w:szCs w:val="32"/>
          <w:highlight w:val="none"/>
          <w:lang w:val="en-US" w:eastAsia="zh-CN"/>
        </w:rPr>
        <w:t>7</w:t>
      </w:r>
      <w:r>
        <w:rPr>
          <w:rFonts w:hint="eastAsia" w:ascii="宋体" w:hAnsi="宋体" w:eastAsia="宋体" w:cs="宋体"/>
          <w:bCs/>
          <w:color w:val="auto"/>
          <w:sz w:val="32"/>
          <w:szCs w:val="32"/>
          <w:highlight w:val="none"/>
        </w:rPr>
        <w:t>—0201</w:t>
      </w:r>
      <w:r>
        <w:rPr>
          <w:rFonts w:hint="eastAsia" w:ascii="宋体" w:hAnsi="宋体" w:eastAsia="宋体" w:cs="宋体"/>
          <w:b/>
          <w:color w:val="auto"/>
          <w:sz w:val="32"/>
          <w:szCs w:val="32"/>
          <w:highlight w:val="none"/>
        </w:rPr>
        <w:t>示范文本）</w:t>
      </w:r>
    </w:p>
    <w:p>
      <w:pPr>
        <w:pageBreakBefore w:val="0"/>
        <w:kinsoku/>
        <w:wordWrap/>
        <w:overflowPunct/>
        <w:topLinePunct w:val="0"/>
        <w:bidi w:val="0"/>
        <w:spacing w:line="240" w:lineRule="auto"/>
        <w:jc w:val="center"/>
        <w:rPr>
          <w:rFonts w:hint="eastAsia"/>
          <w:b/>
          <w:bCs/>
          <w:color w:val="auto"/>
          <w:sz w:val="32"/>
          <w:szCs w:val="40"/>
          <w:highlight w:val="none"/>
          <w:lang w:val="zh-CN"/>
        </w:rPr>
      </w:pPr>
      <w:bookmarkStart w:id="113" w:name="_Toc27346"/>
      <w:bookmarkStart w:id="114" w:name="_Toc11581"/>
      <w:bookmarkStart w:id="115" w:name="_Toc22091"/>
      <w:bookmarkStart w:id="116" w:name="_Toc296503025"/>
      <w:bookmarkStart w:id="117" w:name="_Toc296890982"/>
      <w:r>
        <w:rPr>
          <w:rFonts w:hint="eastAsia"/>
          <w:b/>
          <w:bCs/>
          <w:color w:val="auto"/>
          <w:sz w:val="32"/>
          <w:szCs w:val="40"/>
          <w:highlight w:val="none"/>
          <w:lang w:val="zh-CN"/>
        </w:rPr>
        <w:t>说明</w:t>
      </w:r>
      <w:bookmarkEnd w:id="113"/>
      <w:bookmarkEnd w:id="114"/>
      <w:bookmarkEnd w:id="115"/>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一、《示范文本》的组成</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《示范文本》由合同协议书、通用合同条款和专用合同条款三部分组成。</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（一）合同协议书</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（二）通用合同条款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通用合同条款是合同当事人根据《中华人民共和国建筑法》、《中华人民共和国民法典》等法律法规的规定，就工程建设的实施及相关事项，对合同当事人的权利义务作出的原则性约定。</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（三）专用合同条款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1.专用合同条款的编号应与相应的通用合同条款的编号一致；</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2.合同当事人可以通过对专用合同条款的修改，满足具体建设工程的特殊要求，避免直接修改通用合同条款；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3.在专用合同条款中有横道线的地方，合同当事人可针对相应的通用合同条款进行细化、完善、补充、修改或另行约定；如无细化、完善、补充、修改或另行约定，则填写“无”或划“/”。</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二、《示范文本》的性质和适用范围</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End w:id="116"/>
      <w:bookmarkEnd w:id="117"/>
      <w:bookmarkStart w:id="118" w:name="_Toc351203632"/>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r>
        <w:rPr>
          <w:rFonts w:hint="eastAsia" w:ascii="宋体" w:hAnsi="宋体" w:eastAsia="宋体" w:cs="宋体"/>
          <w:b/>
          <w:bCs/>
          <w:color w:val="auto"/>
          <w:sz w:val="36"/>
          <w:szCs w:val="21"/>
          <w:highlight w:val="none"/>
        </w:rPr>
        <w:t>第一部分 合同协议书</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rPr>
        <w:t>                       </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        </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19" w:name="_Toc351203481"/>
      <w:r>
        <w:rPr>
          <w:rFonts w:hint="eastAsia" w:ascii="宋体" w:hAnsi="宋体" w:eastAsia="宋体" w:cs="宋体"/>
          <w:b/>
          <w:bCs/>
          <w:color w:val="auto"/>
          <w:sz w:val="21"/>
          <w:szCs w:val="21"/>
          <w:highlight w:val="none"/>
        </w:rPr>
        <w:t>一、工程概况</w:t>
      </w:r>
      <w:bookmarkEnd w:id="119"/>
    </w:p>
    <w:p>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施工图设计文件及工程量清单列示的全部内容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群体工程应附《承包人承揽工程项目一览表》（附件1）。</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6.工程承包范围：</w:t>
      </w:r>
      <w:r>
        <w:rPr>
          <w:rFonts w:hint="eastAsia" w:ascii="宋体" w:hAnsi="宋体" w:eastAsia="宋体" w:cs="宋体"/>
          <w:color w:val="auto"/>
          <w:sz w:val="21"/>
          <w:szCs w:val="21"/>
          <w:highlight w:val="none"/>
          <w:u w:val="single"/>
          <w:lang w:eastAsia="zh-CN"/>
        </w:rPr>
        <w:t>施工图设计文件及工程量清单列示的全部内容</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0" w:name="_Toc351203482"/>
      <w:r>
        <w:rPr>
          <w:rFonts w:hint="eastAsia" w:ascii="宋体" w:hAnsi="宋体" w:eastAsia="宋体" w:cs="宋体"/>
          <w:b/>
          <w:bCs/>
          <w:color w:val="auto"/>
          <w:sz w:val="21"/>
          <w:szCs w:val="21"/>
          <w:highlight w:val="none"/>
        </w:rPr>
        <w:t>二、合同工期</w:t>
      </w:r>
      <w:bookmarkEnd w:id="120"/>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
          <w:bCs/>
          <w:color w:val="auto"/>
          <w:sz w:val="21"/>
          <w:szCs w:val="21"/>
          <w:highlight w:val="none"/>
        </w:rPr>
        <w:t xml:space="preserve">    </w:t>
      </w:r>
      <w:bookmarkStart w:id="121" w:name="_Toc351203483"/>
      <w:r>
        <w:rPr>
          <w:rFonts w:hint="eastAsia" w:ascii="宋体" w:hAnsi="宋体" w:eastAsia="宋体" w:cs="宋体"/>
          <w:b/>
          <w:bCs/>
          <w:color w:val="auto"/>
          <w:sz w:val="21"/>
          <w:szCs w:val="21"/>
          <w:highlight w:val="none"/>
        </w:rPr>
        <w:t>三、质量标准</w:t>
      </w:r>
      <w:bookmarkEnd w:id="121"/>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国家相关施工验收规范合格</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2" w:name="_Toc351203484"/>
      <w:r>
        <w:rPr>
          <w:rFonts w:hint="eastAsia" w:ascii="宋体" w:hAnsi="宋体" w:eastAsia="宋体" w:cs="宋体"/>
          <w:b/>
          <w:bCs/>
          <w:color w:val="auto"/>
          <w:sz w:val="21"/>
          <w:szCs w:val="21"/>
          <w:highlight w:val="none"/>
        </w:rPr>
        <w:t>四、签约合同价与合同价格形式</w:t>
      </w:r>
      <w:bookmarkEnd w:id="122"/>
      <w:r>
        <w:rPr>
          <w:rFonts w:hint="eastAsia" w:ascii="宋体" w:hAnsi="宋体" w:eastAsia="宋体" w:cs="宋体"/>
          <w:b w:val="0"/>
          <w:color w:val="auto"/>
          <w:sz w:val="21"/>
          <w:szCs w:val="21"/>
          <w:highlight w:val="none"/>
        </w:rPr>
        <w:tab/>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pPr>
        <w:pageBreakBefore w:val="0"/>
        <w:kinsoku/>
        <w:wordWrap/>
        <w:overflowPunct/>
        <w:topLinePunct w:val="0"/>
        <w:bidi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pPr>
        <w:pageBreakBefore w:val="0"/>
        <w:kinsoku/>
        <w:wordWrap/>
        <w:overflowPunct/>
        <w:topLinePunct w:val="0"/>
        <w:bidi w:val="0"/>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固定总价合同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3" w:name="_Toc351203485"/>
      <w:r>
        <w:rPr>
          <w:rFonts w:hint="eastAsia" w:ascii="宋体" w:hAnsi="宋体" w:eastAsia="宋体" w:cs="宋体"/>
          <w:b/>
          <w:bCs/>
          <w:color w:val="auto"/>
          <w:sz w:val="21"/>
          <w:szCs w:val="21"/>
          <w:highlight w:val="none"/>
        </w:rPr>
        <w:t>五、</w:t>
      </w:r>
      <w:bookmarkEnd w:id="123"/>
      <w:r>
        <w:rPr>
          <w:rFonts w:hint="eastAsia" w:ascii="宋体" w:hAnsi="宋体" w:eastAsia="宋体" w:cs="宋体"/>
          <w:b/>
          <w:bCs/>
          <w:color w:val="auto"/>
          <w:sz w:val="21"/>
          <w:szCs w:val="21"/>
          <w:highlight w:val="none"/>
        </w:rPr>
        <w:t>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4" w:name="_Toc351203486"/>
      <w:r>
        <w:rPr>
          <w:rFonts w:hint="eastAsia" w:ascii="宋体" w:hAnsi="宋体" w:eastAsia="宋体" w:cs="宋体"/>
          <w:b/>
          <w:bCs/>
          <w:color w:val="auto"/>
          <w:sz w:val="21"/>
          <w:szCs w:val="21"/>
          <w:highlight w:val="none"/>
        </w:rPr>
        <w:t>六、合同文件构成</w:t>
      </w:r>
      <w:bookmarkEnd w:id="124"/>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成交</w:t>
      </w:r>
      <w:r>
        <w:rPr>
          <w:rFonts w:hint="eastAsia" w:ascii="宋体" w:hAnsi="宋体" w:eastAsia="宋体" w:cs="宋体"/>
          <w:bCs/>
          <w:color w:val="auto"/>
          <w:sz w:val="21"/>
          <w:szCs w:val="21"/>
          <w:highlight w:val="none"/>
        </w:rPr>
        <w:t>通知书（如果有）；</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eastAsia="zh-CN"/>
        </w:rPr>
        <w:t>磋商响应函</w:t>
      </w:r>
      <w:r>
        <w:rPr>
          <w:rFonts w:hint="eastAsia" w:ascii="宋体" w:hAnsi="宋体" w:eastAsia="宋体" w:cs="宋体"/>
          <w:bCs/>
          <w:color w:val="auto"/>
          <w:sz w:val="21"/>
          <w:szCs w:val="21"/>
          <w:highlight w:val="none"/>
        </w:rPr>
        <w:t xml:space="preserve">及其附录（如果有）； </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（3）专用合同条款及其附件；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（4）通用合同条款；</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（5）技术标准和要求；</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（6）图纸；</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（7）已标价工程量清单或预算书；</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（8）其他合同文件。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在合同订立及履行过程中形成的与合同有关的文件均构成合同文件组成部分。</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5" w:name="_Toc351203487"/>
      <w:r>
        <w:rPr>
          <w:rFonts w:hint="eastAsia" w:ascii="宋体" w:hAnsi="宋体" w:eastAsia="宋体" w:cs="宋体"/>
          <w:b/>
          <w:bCs/>
          <w:color w:val="auto"/>
          <w:sz w:val="21"/>
          <w:szCs w:val="21"/>
          <w:highlight w:val="none"/>
        </w:rPr>
        <w:t>七、承诺</w:t>
      </w:r>
      <w:bookmarkEnd w:id="125"/>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pPr>
        <w:pStyle w:val="7"/>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bookmarkStart w:id="126" w:name="_Toc351203488"/>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八、词语含义</w:t>
      </w:r>
      <w:bookmarkEnd w:id="126"/>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7" w:name="_Toc351203489"/>
      <w:r>
        <w:rPr>
          <w:rFonts w:hint="eastAsia" w:ascii="宋体" w:hAnsi="宋体" w:eastAsia="宋体" w:cs="宋体"/>
          <w:b/>
          <w:bCs/>
          <w:color w:val="auto"/>
          <w:sz w:val="21"/>
          <w:szCs w:val="21"/>
          <w:highlight w:val="none"/>
        </w:rPr>
        <w:t>九、签订时间</w:t>
      </w:r>
      <w:bookmarkEnd w:id="127"/>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8" w:name="_Toc351203490"/>
      <w:r>
        <w:rPr>
          <w:rFonts w:hint="eastAsia" w:ascii="宋体" w:hAnsi="宋体" w:eastAsia="宋体" w:cs="宋体"/>
          <w:b/>
          <w:bCs/>
          <w:color w:val="auto"/>
          <w:sz w:val="21"/>
          <w:szCs w:val="21"/>
          <w:highlight w:val="none"/>
        </w:rPr>
        <w:t>十、签订地点</w:t>
      </w:r>
      <w:bookmarkEnd w:id="128"/>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29" w:name="_Toc351203491"/>
      <w:r>
        <w:rPr>
          <w:rFonts w:hint="eastAsia" w:ascii="宋体" w:hAnsi="宋体" w:eastAsia="宋体" w:cs="宋体"/>
          <w:b/>
          <w:bCs/>
          <w:color w:val="auto"/>
          <w:sz w:val="21"/>
          <w:szCs w:val="21"/>
          <w:highlight w:val="none"/>
        </w:rPr>
        <w:t>十一、补充协议</w:t>
      </w:r>
      <w:bookmarkEnd w:id="129"/>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130" w:name="_Toc351203492"/>
      <w:r>
        <w:rPr>
          <w:rFonts w:hint="eastAsia" w:ascii="宋体" w:hAnsi="宋体" w:eastAsia="宋体" w:cs="宋体"/>
          <w:b/>
          <w:bCs/>
          <w:color w:val="auto"/>
          <w:sz w:val="21"/>
          <w:szCs w:val="21"/>
          <w:highlight w:val="none"/>
        </w:rPr>
        <w:t>十二、合同生效</w:t>
      </w:r>
      <w:bookmarkEnd w:id="130"/>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双方签字盖章之日起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131" w:name="_Toc351203493"/>
      <w:r>
        <w:rPr>
          <w:rFonts w:hint="eastAsia" w:ascii="宋体" w:hAnsi="宋体" w:eastAsia="宋体" w:cs="宋体"/>
          <w:b w:val="0"/>
          <w:color w:val="auto"/>
          <w:sz w:val="21"/>
          <w:szCs w:val="21"/>
          <w:highlight w:val="none"/>
        </w:rPr>
        <w:t>十三、合同份数</w:t>
      </w:r>
      <w:bookmarkEnd w:id="131"/>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  (公章)             承包人：  (公章)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                    （签字）</w:t>
      </w:r>
    </w:p>
    <w:p>
      <w:pPr>
        <w:keepNext w:val="0"/>
        <w:keepLines w:val="0"/>
        <w:pageBreakBefore w:val="0"/>
        <w:widowControl w:val="0"/>
        <w:tabs>
          <w:tab w:val="left" w:pos="4410"/>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bookmarkEnd w:id="118"/>
      <w:r>
        <w:rPr>
          <w:rFonts w:hint="eastAsia" w:ascii="宋体" w:hAnsi="宋体" w:eastAsia="宋体" w:cs="宋体"/>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6"/>
          <w:szCs w:val="21"/>
          <w:highlight w:val="none"/>
        </w:rPr>
        <w:t>第二部分</w:t>
      </w:r>
      <w:r>
        <w:rPr>
          <w:rFonts w:hint="eastAsia" w:ascii="宋体" w:hAnsi="宋体" w:eastAsia="宋体" w:cs="宋体"/>
          <w:b/>
          <w:bCs/>
          <w:color w:val="auto"/>
          <w:sz w:val="36"/>
          <w:szCs w:val="21"/>
          <w:highlight w:val="none"/>
          <w:lang w:val="en-US" w:eastAsia="zh-CN"/>
        </w:rPr>
        <w:t xml:space="preserve"> </w:t>
      </w:r>
      <w:r>
        <w:rPr>
          <w:rFonts w:hint="eastAsia" w:ascii="宋体" w:hAnsi="宋体" w:eastAsia="宋体" w:cs="宋体"/>
          <w:b/>
          <w:bCs/>
          <w:color w:val="auto"/>
          <w:sz w:val="36"/>
          <w:szCs w:val="21"/>
          <w:highlight w:val="none"/>
        </w:rPr>
        <w:t>通用合同条款</w:t>
      </w:r>
    </w:p>
    <w:p>
      <w:pPr>
        <w:pStyle w:val="5"/>
        <w:pageBreakBefore w:val="0"/>
        <w:kinsoku/>
        <w:wordWrap/>
        <w:overflowPunct/>
        <w:topLinePunct w:val="0"/>
        <w:bidi w:val="0"/>
        <w:spacing w:line="240" w:lineRule="auto"/>
        <w:jc w:val="center"/>
        <w:rPr>
          <w:rFonts w:ascii="华文中宋" w:hAnsi="华文中宋" w:eastAsia="华文中宋"/>
          <w:color w:val="auto"/>
          <w:sz w:val="44"/>
          <w:szCs w:val="44"/>
          <w:highlight w:val="none"/>
        </w:rPr>
      </w:pPr>
      <w:bookmarkStart w:id="132" w:name="_Toc23346"/>
      <w:r>
        <w:rPr>
          <w:rFonts w:hint="eastAsia" w:ascii="宋体" w:hAnsi="宋体" w:eastAsia="宋体" w:cs="宋体"/>
          <w:color w:val="auto"/>
          <w:highlight w:val="none"/>
        </w:rPr>
        <w:t>（略）</w:t>
      </w:r>
      <w:bookmarkEnd w:id="132"/>
    </w:p>
    <w:p>
      <w:pPr>
        <w:pStyle w:val="5"/>
        <w:pageBreakBefore w:val="0"/>
        <w:kinsoku/>
        <w:wordWrap/>
        <w:overflowPunct/>
        <w:topLinePunct w:val="0"/>
        <w:bidi w:val="0"/>
        <w:spacing w:line="240" w:lineRule="auto"/>
        <w:jc w:val="center"/>
        <w:rPr>
          <w:rFonts w:hint="eastAsia" w:ascii="宋体" w:hAnsi="宋体" w:eastAsia="宋体" w:cs="宋体"/>
          <w:color w:val="auto"/>
          <w:sz w:val="36"/>
          <w:szCs w:val="36"/>
          <w:highlight w:val="none"/>
        </w:rPr>
      </w:pPr>
      <w:bookmarkStart w:id="133" w:name="_Toc13374"/>
      <w:r>
        <w:rPr>
          <w:rFonts w:hint="eastAsia" w:ascii="宋体" w:hAnsi="宋体" w:eastAsia="宋体" w:cs="宋体"/>
          <w:color w:val="auto"/>
          <w:sz w:val="36"/>
          <w:szCs w:val="36"/>
          <w:highlight w:val="none"/>
        </w:rPr>
        <w:t>第三部分 专用合同条款</w:t>
      </w:r>
      <w:bookmarkEnd w:id="133"/>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 一般约定</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4" w:name="_Toc24876"/>
      <w:bookmarkStart w:id="135" w:name="_Toc21923"/>
      <w:bookmarkStart w:id="136" w:name="_Toc7266"/>
      <w:bookmarkStart w:id="137" w:name="_Toc27487"/>
      <w:r>
        <w:rPr>
          <w:rFonts w:hint="eastAsia" w:ascii="宋体" w:hAnsi="宋体" w:eastAsia="宋体" w:cs="宋体"/>
          <w:color w:val="auto"/>
          <w:sz w:val="21"/>
          <w:szCs w:val="21"/>
          <w:highlight w:val="none"/>
        </w:rPr>
        <w:t>1.1 词语定义</w:t>
      </w:r>
      <w:bookmarkEnd w:id="134"/>
      <w:bookmarkEnd w:id="135"/>
      <w:bookmarkEnd w:id="136"/>
      <w:bookmarkEnd w:id="137"/>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 xml:space="preserve"> 执行通用条款</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ind w:left="1650" w:hanging="1155" w:hangingChars="5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ind w:left="1650" w:hanging="1155" w:hangingChars="5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用于施工需要的临时占地</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用于施工需要的临时占地</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8" w:name="_Toc18402"/>
      <w:bookmarkStart w:id="139" w:name="_Toc13045"/>
      <w:bookmarkStart w:id="140" w:name="_Toc23870"/>
      <w:bookmarkStart w:id="141" w:name="_Toc23259"/>
      <w:r>
        <w:rPr>
          <w:rFonts w:hint="eastAsia" w:ascii="宋体" w:hAnsi="宋体" w:eastAsia="宋体" w:cs="宋体"/>
          <w:color w:val="auto"/>
          <w:sz w:val="21"/>
          <w:szCs w:val="21"/>
          <w:highlight w:val="none"/>
        </w:rPr>
        <w:t>1.5 合同文件的优先顺序</w:t>
      </w:r>
      <w:bookmarkEnd w:id="138"/>
      <w:bookmarkEnd w:id="139"/>
      <w:bookmarkEnd w:id="140"/>
      <w:bookmarkEnd w:id="141"/>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（3）合同协议书；</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（4）合同专用条款；</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（5）合同通用条款；</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lang w:eastAsia="zh-CN"/>
        </w:rPr>
        <w:t>响应函</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（7）已标价的工程量清单；</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（8）列入合同的投标辅助资料。</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42" w:name="_Toc13879"/>
      <w:bookmarkStart w:id="143" w:name="_Toc22017"/>
      <w:bookmarkStart w:id="144" w:name="_Toc31059"/>
      <w:bookmarkStart w:id="145" w:name="_Toc12884"/>
      <w:r>
        <w:rPr>
          <w:rFonts w:hint="eastAsia" w:ascii="宋体" w:hAnsi="宋体" w:eastAsia="宋体" w:cs="宋体"/>
          <w:color w:val="auto"/>
          <w:sz w:val="21"/>
          <w:szCs w:val="21"/>
          <w:highlight w:val="none"/>
        </w:rPr>
        <w:t>1.6 图纸和承包人文件</w:t>
      </w:r>
      <w:bookmarkEnd w:id="142"/>
      <w:bookmarkEnd w:id="143"/>
      <w:bookmarkEnd w:id="144"/>
      <w:bookmarkEnd w:id="145"/>
      <w:r>
        <w:rPr>
          <w:rFonts w:hint="eastAsia" w:ascii="宋体" w:hAnsi="宋体" w:eastAsia="宋体" w:cs="宋体"/>
          <w:color w:val="auto"/>
          <w:sz w:val="21"/>
          <w:szCs w:val="21"/>
          <w:highlight w:val="none"/>
        </w:rPr>
        <w:tab/>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合同签订后三日内</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Cs w:val="21"/>
          <w:highlight w:val="none"/>
          <w:u w:val="single"/>
        </w:rPr>
        <w:t>施工图以及图审意见回复变更通知书、图纸补疑文件等</w:t>
      </w:r>
      <w:r>
        <w:rPr>
          <w:rFonts w:hint="eastAsia" w:ascii="宋体" w:hAnsi="宋体" w:eastAsia="宋体" w:cs="宋体"/>
          <w:color w:val="auto"/>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贰套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pPr>
        <w:pageBreakBefore w:val="0"/>
        <w:kinsoku/>
        <w:wordWrap/>
        <w:overflowPunct/>
        <w:topLinePunct w:val="0"/>
        <w:bidi w:val="0"/>
        <w:spacing w:line="240" w:lineRule="auto"/>
        <w:ind w:left="596" w:leftChars="28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工程开工前3天</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叁份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 xml:space="preserve"> 纸质版两份，电子版一份</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Cs w:val="21"/>
          <w:highlight w:val="none"/>
          <w:u w:val="single"/>
        </w:rPr>
        <w:t>承包人提交全部资料后七日内</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46" w:name="_Toc8241"/>
      <w:bookmarkStart w:id="147" w:name="_Toc14830"/>
      <w:bookmarkStart w:id="148" w:name="_Toc19592"/>
      <w:bookmarkStart w:id="149" w:name="_Toc17217"/>
      <w:r>
        <w:rPr>
          <w:rFonts w:hint="eastAsia" w:ascii="宋体" w:hAnsi="宋体" w:eastAsia="宋体" w:cs="宋体"/>
          <w:color w:val="auto"/>
          <w:sz w:val="21"/>
          <w:szCs w:val="21"/>
          <w:highlight w:val="none"/>
        </w:rPr>
        <w:t>1.7 联络</w:t>
      </w:r>
      <w:bookmarkEnd w:id="146"/>
      <w:bookmarkEnd w:id="147"/>
      <w:bookmarkEnd w:id="148"/>
      <w:bookmarkEnd w:id="149"/>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lang w:eastAsia="zh-CN"/>
        </w:rPr>
        <w:t>七</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施工现场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施工现场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50" w:name="_Toc8730"/>
      <w:bookmarkStart w:id="151" w:name="_Toc15291"/>
      <w:bookmarkStart w:id="152" w:name="_Toc4481"/>
      <w:bookmarkStart w:id="153" w:name="_Toc27888"/>
      <w:r>
        <w:rPr>
          <w:rFonts w:hint="eastAsia" w:ascii="宋体" w:hAnsi="宋体" w:eastAsia="宋体" w:cs="宋体"/>
          <w:color w:val="auto"/>
          <w:sz w:val="21"/>
          <w:szCs w:val="21"/>
          <w:highlight w:val="none"/>
        </w:rPr>
        <w:t>1.10 交通运输</w:t>
      </w:r>
      <w:bookmarkEnd w:id="150"/>
      <w:bookmarkEnd w:id="151"/>
      <w:bookmarkEnd w:id="152"/>
      <w:bookmarkEnd w:id="153"/>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sz w:val="21"/>
          <w:szCs w:val="21"/>
          <w:highlight w:val="none"/>
        </w:rPr>
      </w:pPr>
      <w:bookmarkStart w:id="154" w:name="_Toc2418"/>
      <w:bookmarkStart w:id="155" w:name="_Toc26505"/>
      <w:bookmarkStart w:id="156" w:name="_Toc29914"/>
      <w:bookmarkStart w:id="157" w:name="_Toc9447"/>
      <w:r>
        <w:rPr>
          <w:rFonts w:hint="eastAsia" w:ascii="宋体" w:hAnsi="宋体" w:eastAsia="宋体" w:cs="宋体"/>
          <w:color w:val="auto"/>
          <w:sz w:val="21"/>
          <w:szCs w:val="21"/>
          <w:highlight w:val="none"/>
        </w:rPr>
        <w:t>1.10.1 出入现场的权利</w:t>
      </w:r>
      <w:bookmarkEnd w:id="154"/>
      <w:bookmarkEnd w:id="155"/>
      <w:bookmarkEnd w:id="156"/>
      <w:bookmarkEnd w:id="157"/>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承包人应对出入施工现场的车辆进行管理，工程运输车辆应符合安庆市城市管理有关规定</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58" w:name="_Toc6024"/>
      <w:bookmarkStart w:id="159" w:name="_Toc10264"/>
      <w:bookmarkStart w:id="160" w:name="_Toc8371"/>
      <w:bookmarkStart w:id="161" w:name="_Toc12638"/>
      <w:r>
        <w:rPr>
          <w:rFonts w:hint="eastAsia" w:ascii="宋体" w:hAnsi="宋体" w:eastAsia="宋体" w:cs="宋体"/>
          <w:color w:val="auto"/>
          <w:sz w:val="21"/>
          <w:szCs w:val="21"/>
          <w:highlight w:val="none"/>
        </w:rPr>
        <w:t>1.10.3 场内交通</w:t>
      </w:r>
      <w:bookmarkEnd w:id="158"/>
      <w:bookmarkEnd w:id="159"/>
      <w:bookmarkEnd w:id="160"/>
      <w:bookmarkEnd w:id="161"/>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规划红线</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不提供</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62" w:name="_Toc14580"/>
      <w:bookmarkStart w:id="163" w:name="_Toc20090"/>
      <w:bookmarkStart w:id="164" w:name="_Toc11548"/>
      <w:bookmarkStart w:id="165" w:name="_Toc10302"/>
      <w:r>
        <w:rPr>
          <w:rFonts w:hint="eastAsia" w:ascii="宋体" w:hAnsi="宋体" w:eastAsia="宋体" w:cs="宋体"/>
          <w:color w:val="auto"/>
          <w:sz w:val="21"/>
          <w:szCs w:val="21"/>
          <w:highlight w:val="none"/>
        </w:rPr>
        <w:t>1.11 知识产权</w:t>
      </w:r>
      <w:bookmarkEnd w:id="162"/>
      <w:bookmarkEnd w:id="163"/>
      <w:bookmarkEnd w:id="164"/>
      <w:bookmarkEnd w:id="165"/>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kern w:val="0"/>
          <w:sz w:val="21"/>
          <w:szCs w:val="21"/>
          <w:highlight w:val="none"/>
        </w:rPr>
      </w:pPr>
      <w:bookmarkStart w:id="166" w:name="_Toc19571"/>
      <w:bookmarkStart w:id="167" w:name="_Toc32068"/>
      <w:bookmarkStart w:id="168" w:name="_Toc717"/>
      <w:bookmarkStart w:id="169" w:name="_Toc18982"/>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bookmarkEnd w:id="166"/>
      <w:bookmarkEnd w:id="167"/>
      <w:bookmarkEnd w:id="168"/>
      <w:bookmarkEnd w:id="169"/>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 发包人</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70" w:name="_Toc6535"/>
      <w:bookmarkStart w:id="171" w:name="_Toc15537"/>
      <w:bookmarkStart w:id="172" w:name="_Toc16291"/>
      <w:bookmarkStart w:id="173" w:name="_Toc20657"/>
      <w:r>
        <w:rPr>
          <w:rFonts w:hint="eastAsia" w:ascii="宋体" w:hAnsi="宋体" w:eastAsia="宋体" w:cs="宋体"/>
          <w:color w:val="auto"/>
          <w:sz w:val="21"/>
          <w:szCs w:val="21"/>
          <w:highlight w:val="none"/>
        </w:rPr>
        <w:t>2.2 发包人代表</w:t>
      </w:r>
      <w:bookmarkEnd w:id="170"/>
      <w:bookmarkEnd w:id="171"/>
      <w:bookmarkEnd w:id="172"/>
      <w:bookmarkEnd w:id="173"/>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Cs w:val="21"/>
          <w:highlight w:val="none"/>
          <w:u w:val="single"/>
        </w:rPr>
        <w:t>除设计变更、费用调整、工期延长及其他法律、法规和政策性规定须由发包人批准才能行使职权的事项外，其它执行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74" w:name="_Toc12298"/>
      <w:bookmarkStart w:id="175" w:name="_Toc6072"/>
      <w:bookmarkStart w:id="176" w:name="_Toc17040"/>
      <w:bookmarkStart w:id="177" w:name="_Toc1786"/>
      <w:r>
        <w:rPr>
          <w:rFonts w:hint="eastAsia" w:ascii="宋体" w:hAnsi="宋体" w:eastAsia="宋体" w:cs="宋体"/>
          <w:color w:val="auto"/>
          <w:sz w:val="21"/>
          <w:szCs w:val="21"/>
          <w:highlight w:val="none"/>
        </w:rPr>
        <w:t>2.4 施工现场、施工条件和基础资料的提供</w:t>
      </w:r>
      <w:bookmarkEnd w:id="174"/>
      <w:bookmarkEnd w:id="175"/>
      <w:bookmarkEnd w:id="176"/>
      <w:bookmarkEnd w:id="177"/>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78" w:name="_Toc2686"/>
      <w:bookmarkStart w:id="179" w:name="_Toc16645"/>
      <w:bookmarkStart w:id="180" w:name="_Toc12988"/>
      <w:bookmarkStart w:id="181" w:name="_Toc2716"/>
      <w:r>
        <w:rPr>
          <w:rFonts w:hint="eastAsia" w:ascii="宋体" w:hAnsi="宋体" w:eastAsia="宋体" w:cs="宋体"/>
          <w:color w:val="auto"/>
          <w:sz w:val="21"/>
          <w:szCs w:val="21"/>
          <w:highlight w:val="none"/>
        </w:rPr>
        <w:t>2.5 资金来源证明及支付担保</w:t>
      </w:r>
      <w:bookmarkEnd w:id="178"/>
      <w:bookmarkEnd w:id="179"/>
      <w:bookmarkEnd w:id="180"/>
      <w:bookmarkEnd w:id="181"/>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 承包人</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竣工资料执行《建设工程文件归档规范》（GB/T50328-20</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2019年版</w:t>
      </w:r>
      <w:r>
        <w:rPr>
          <w:rFonts w:hint="eastAsia" w:ascii="宋体" w:hAnsi="宋体" w:cs="宋体"/>
          <w:color w:val="auto"/>
          <w:szCs w:val="21"/>
          <w:highlight w:val="none"/>
          <w:u w:val="single"/>
          <w:lang w:eastAsia="zh-CN"/>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竣工图及资料各肆套并提供电子版一套</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left="638" w:leftChars="3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left="638" w:leftChars="3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竣工验收后15日内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整理装订成册并签章的书面文件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Cs w:val="21"/>
          <w:highlight w:val="none"/>
          <w:u w:val="single"/>
        </w:rPr>
        <w:t>负责施工现场的项目管理工程</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Cs w:val="21"/>
          <w:highlight w:val="none"/>
          <w:u w:val="single"/>
        </w:rPr>
        <w:t>项目经理应常驻施工现场，且每月在施工现场时间不得少于26天。项目经理确需离开施工现场时，应事先通知监理人，并取得发包人的书面同意</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由承包人自行解决</w:t>
      </w:r>
      <w:r>
        <w:rPr>
          <w:rFonts w:hint="eastAsia" w:ascii="宋体" w:hAnsi="宋体" w:eastAsia="宋体" w:cs="宋体"/>
          <w:color w:val="auto"/>
          <w:sz w:val="21"/>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项目经理要常驻施工现场，离开现场的须经发包人同意，并书面指定临时代表，代为行使项目经理权利，该临时代表的一切行为均认为是项目经理的行为。未经发包人批准，擅自离开施工现场，一经发现，每次扣罚2000元，工程建设期间发生三次以上（不含三次），发包人有权终止合同、履约保证金不予退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3.2.3承包人擅自更换项目经理的违约责任：</w:t>
      </w:r>
      <w:r>
        <w:rPr>
          <w:rFonts w:hint="eastAsia" w:ascii="宋体" w:hAnsi="宋体" w:eastAsia="宋体" w:cs="宋体"/>
          <w:color w:val="auto"/>
          <w:szCs w:val="21"/>
          <w:highlight w:val="none"/>
          <w:u w:val="single"/>
        </w:rPr>
        <w:t>须提前14天通知发包人和监理人，并征得发包人的书面同意，更换后的项目经理资历、水平不</w:t>
      </w:r>
      <w:r>
        <w:rPr>
          <w:rFonts w:hint="eastAsia" w:ascii="宋体" w:hAnsi="宋体" w:eastAsia="宋体" w:cs="宋体"/>
          <w:color w:val="auto"/>
          <w:szCs w:val="21"/>
          <w:highlight w:val="none"/>
          <w:u w:val="single"/>
          <w:lang w:eastAsia="zh-CN"/>
        </w:rPr>
        <w:t>得</w:t>
      </w:r>
      <w:r>
        <w:rPr>
          <w:rFonts w:hint="eastAsia" w:ascii="宋体" w:hAnsi="宋体" w:eastAsia="宋体" w:cs="宋体"/>
          <w:color w:val="auto"/>
          <w:szCs w:val="21"/>
          <w:highlight w:val="none"/>
          <w:u w:val="single"/>
        </w:rPr>
        <w:t>降低。擅自更换项目经理将对承包人处以5000~20000元违约金处罚。</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bookmarkStart w:id="182" w:name="_Toc21855"/>
      <w:bookmarkStart w:id="183" w:name="_Toc9139"/>
      <w:r>
        <w:rPr>
          <w:rFonts w:hint="eastAsia" w:ascii="宋体" w:hAnsi="宋体" w:eastAsia="宋体" w:cs="宋体"/>
          <w:color w:val="auto"/>
          <w:szCs w:val="21"/>
          <w:highlight w:val="none"/>
        </w:rPr>
        <w:t>3.2.4承包人无正当理由拒绝更换项目经理的违约责任：</w:t>
      </w:r>
      <w:r>
        <w:rPr>
          <w:rFonts w:hint="eastAsia" w:ascii="宋体" w:hAnsi="宋体" w:eastAsia="宋体" w:cs="宋体"/>
          <w:color w:val="auto"/>
          <w:szCs w:val="21"/>
          <w:highlight w:val="none"/>
          <w:u w:val="single"/>
        </w:rPr>
        <w:t>将对承包人处以5000元~20000元违约金处罚。</w:t>
      </w:r>
      <w:bookmarkEnd w:id="182"/>
      <w:bookmarkEnd w:id="183"/>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施工合同签订后3日内</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Cs w:val="21"/>
          <w:highlight w:val="none"/>
          <w:u w:val="single"/>
        </w:rPr>
        <w:t>承包人主要施工管理人员应常驻现场，离开现场须经发包人或监理人同意，擅自离开的，一经发现，将按</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进行处罚</w:t>
      </w:r>
      <w:r>
        <w:rPr>
          <w:rFonts w:hint="eastAsia" w:ascii="宋体" w:hAnsi="宋体" w:eastAsia="宋体" w:cs="宋体"/>
          <w:color w:val="auto"/>
          <w:sz w:val="21"/>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将对承包人处以警告处罚，情节严重处以2000元~50000元违约金处罚，直至解除合同。</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分包</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分包的一般约定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主体结构工程、关键性工作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Cs w:val="21"/>
          <w:highlight w:val="none"/>
          <w:u w:val="single"/>
        </w:rPr>
        <w:t>涉及承包人资质证书承包范围内的工程内容</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3.5.2分包的确定</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Cs w:val="21"/>
          <w:highlight w:val="none"/>
          <w:u w:val="single"/>
        </w:rPr>
        <w:t>涉及承包人资质证书承包范围外的工程内容</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kern w:val="0"/>
          <w:szCs w:val="21"/>
          <w:highlight w:val="none"/>
          <w:u w:val="single"/>
        </w:rPr>
        <w:t>承包人按</w:t>
      </w:r>
      <w:r>
        <w:rPr>
          <w:rFonts w:hint="eastAsia" w:ascii="宋体" w:hAnsi="宋体" w:cs="宋体"/>
          <w:bCs/>
          <w:color w:val="auto"/>
          <w:kern w:val="0"/>
          <w:szCs w:val="21"/>
          <w:highlight w:val="none"/>
          <w:u w:val="single"/>
          <w:lang w:val="en-US" w:eastAsia="zh-CN"/>
        </w:rPr>
        <w:t>竞争性磋商文件</w:t>
      </w:r>
      <w:r>
        <w:rPr>
          <w:rFonts w:hint="eastAsia" w:ascii="宋体" w:hAnsi="宋体" w:eastAsia="宋体" w:cs="宋体"/>
          <w:bCs/>
          <w:color w:val="auto"/>
          <w:kern w:val="0"/>
          <w:szCs w:val="21"/>
          <w:highlight w:val="none"/>
          <w:u w:val="single"/>
          <w:lang w:eastAsia="zh-CN"/>
        </w:rPr>
        <w:t>约定</w:t>
      </w:r>
      <w:r>
        <w:rPr>
          <w:rFonts w:hint="eastAsia" w:ascii="宋体" w:hAnsi="宋体" w:eastAsia="宋体" w:cs="宋体"/>
          <w:bCs/>
          <w:color w:val="auto"/>
          <w:kern w:val="0"/>
          <w:szCs w:val="21"/>
          <w:highlight w:val="none"/>
          <w:u w:val="single"/>
        </w:rPr>
        <w:t>向发包人提交履约担保</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 监理人</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详见监理合同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除设计变更、费用调整、工期延长及其他法律、法规和政策性规定须由发包人批准才能行使职权的事项外，其它执行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承包人为监理人提供办公场所一间</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 工程质量</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84" w:name="_Toc1365"/>
      <w:bookmarkStart w:id="185" w:name="_Toc12030"/>
      <w:bookmarkStart w:id="186" w:name="_Toc1232"/>
      <w:r>
        <w:rPr>
          <w:rFonts w:hint="eastAsia" w:ascii="宋体" w:hAnsi="宋体" w:eastAsia="宋体" w:cs="宋体"/>
          <w:color w:val="auto"/>
          <w:sz w:val="21"/>
          <w:szCs w:val="21"/>
          <w:highlight w:val="none"/>
        </w:rPr>
        <w:t>5.1 质量要求</w:t>
      </w:r>
      <w:bookmarkEnd w:id="184"/>
      <w:bookmarkEnd w:id="185"/>
      <w:bookmarkEnd w:id="18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合格标准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87" w:name="_Toc10364"/>
      <w:bookmarkStart w:id="188" w:name="_Toc6613"/>
      <w:bookmarkStart w:id="189" w:name="_Toc15686"/>
      <w:bookmarkStart w:id="190" w:name="_Toc4426"/>
      <w:r>
        <w:rPr>
          <w:rFonts w:hint="eastAsia" w:ascii="宋体" w:hAnsi="宋体" w:eastAsia="宋体" w:cs="宋体"/>
          <w:color w:val="auto"/>
          <w:sz w:val="21"/>
          <w:szCs w:val="21"/>
          <w:highlight w:val="none"/>
        </w:rPr>
        <w:t>5.3 隐蔽工程检查</w:t>
      </w:r>
      <w:bookmarkEnd w:id="187"/>
      <w:bookmarkEnd w:id="188"/>
      <w:bookmarkEnd w:id="189"/>
      <w:bookmarkEnd w:id="190"/>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 安全文明施工与环境保护</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执行国家、省、市有关规定，确保文明施工</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与工程进度款同期支付</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 工期和进度</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施工进度计划</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发包人应按照法律规定获得工程施工所需的许可。经发包人同意后，监理人发出的开工通知应符合法律规定。监理人应在计划开工日期7天前向承包人发出开工通知，工期以开工通知中的开工日期起算</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7日内</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因承包人原因造成工期延误，逾期竣工违约金的计算方法为：</w:t>
      </w:r>
      <w:r>
        <w:rPr>
          <w:rFonts w:hint="eastAsia" w:ascii="宋体" w:hAnsi="宋体" w:eastAsia="宋体" w:cs="宋体"/>
          <w:color w:val="auto"/>
          <w:szCs w:val="21"/>
          <w:highlight w:val="none"/>
          <w:u w:val="single"/>
        </w:rPr>
        <w:t>每延期竣工一天，承包人支付发包人合同价款的万分之三的违约金；违约金最高限额为合同价款的6%。延期竣工</w:t>
      </w:r>
      <w:r>
        <w:rPr>
          <w:rFonts w:hint="eastAsia" w:ascii="宋体" w:hAnsi="宋体" w:cs="宋体"/>
          <w:color w:val="auto"/>
          <w:szCs w:val="21"/>
          <w:highlight w:val="none"/>
          <w:u w:val="single"/>
          <w:lang w:val="en-US" w:eastAsia="zh-CN"/>
        </w:rPr>
        <w:t>1周</w:t>
      </w:r>
      <w:r>
        <w:rPr>
          <w:rFonts w:hint="eastAsia" w:ascii="宋体" w:hAnsi="宋体" w:eastAsia="宋体" w:cs="宋体"/>
          <w:color w:val="auto"/>
          <w:szCs w:val="21"/>
          <w:highlight w:val="none"/>
          <w:u w:val="single"/>
        </w:rPr>
        <w:t>上的，发包人有权解除合同并追究连带损失</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191" w:name="_Toc312678014"/>
      <w:bookmarkStart w:id="192"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91"/>
    <w:bookmarkEnd w:id="192"/>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不利物质条件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（1）战争、动乱、空中飞行物体坠落或其他非发包人承包人责任造成的爆炸、火灾；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（2）四级以上地震，连续四日日降雨量100mm以上的天气及其他天灾；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（3）其它执行通用合同条款。</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93" w:name="_Toc25487"/>
      <w:bookmarkStart w:id="194" w:name="_Toc803"/>
      <w:bookmarkStart w:id="195" w:name="_Toc22791"/>
      <w:bookmarkStart w:id="196" w:name="_Toc27866"/>
      <w:r>
        <w:rPr>
          <w:rFonts w:hint="eastAsia" w:ascii="宋体" w:hAnsi="宋体" w:eastAsia="宋体" w:cs="宋体"/>
          <w:color w:val="auto"/>
          <w:sz w:val="21"/>
          <w:szCs w:val="21"/>
          <w:highlight w:val="none"/>
        </w:rPr>
        <w:t>7.9 提前竣工的奖励</w:t>
      </w:r>
      <w:bookmarkEnd w:id="193"/>
      <w:bookmarkEnd w:id="194"/>
      <w:bookmarkEnd w:id="195"/>
      <w:bookmarkEnd w:id="19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 材料与设备</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8.4材料与工程设备的保管与使用</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97" w:name="_Toc3274"/>
      <w:bookmarkStart w:id="198" w:name="_Toc3767"/>
      <w:bookmarkStart w:id="199" w:name="_Toc2348"/>
      <w:bookmarkStart w:id="200" w:name="_Toc652"/>
      <w:r>
        <w:rPr>
          <w:rFonts w:hint="eastAsia" w:ascii="宋体" w:hAnsi="宋体" w:eastAsia="宋体" w:cs="宋体"/>
          <w:color w:val="auto"/>
          <w:sz w:val="21"/>
          <w:szCs w:val="21"/>
          <w:highlight w:val="none"/>
        </w:rPr>
        <w:t>8.6 样品</w:t>
      </w:r>
      <w:bookmarkEnd w:id="197"/>
      <w:bookmarkEnd w:id="198"/>
      <w:bookmarkEnd w:id="199"/>
      <w:bookmarkEnd w:id="200"/>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01" w:name="_Toc6426"/>
      <w:bookmarkStart w:id="202" w:name="_Toc24386"/>
      <w:bookmarkStart w:id="203" w:name="_Toc7369"/>
      <w:bookmarkStart w:id="204" w:name="_Toc26592"/>
      <w:r>
        <w:rPr>
          <w:rFonts w:hint="eastAsia" w:ascii="宋体" w:hAnsi="宋体" w:eastAsia="宋体" w:cs="宋体"/>
          <w:color w:val="auto"/>
          <w:sz w:val="21"/>
          <w:szCs w:val="21"/>
          <w:highlight w:val="none"/>
        </w:rPr>
        <w:t>8.8 施工设备和临时设施</w:t>
      </w:r>
      <w:bookmarkEnd w:id="201"/>
      <w:bookmarkEnd w:id="202"/>
      <w:bookmarkEnd w:id="203"/>
      <w:bookmarkEnd w:id="204"/>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 试验与检验</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9.1试验设备与试验人员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 试验设备</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承包人自行解决，费用自理。</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承包人自行解决，费用自理。</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Cs w:val="21"/>
          <w:highlight w:val="none"/>
          <w:u w:val="single"/>
        </w:rPr>
      </w:pPr>
      <w:bookmarkStart w:id="205" w:name="_Toc1869"/>
      <w:bookmarkStart w:id="206" w:name="_Toc23114"/>
      <w:bookmarkStart w:id="207" w:name="_Toc9705"/>
      <w:bookmarkStart w:id="208" w:name="_Toc5600"/>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承包人自行解决，费用自理。</w:t>
      </w:r>
      <w:bookmarkEnd w:id="205"/>
      <w:bookmarkEnd w:id="206"/>
      <w:bookmarkEnd w:id="207"/>
      <w:bookmarkEnd w:id="208"/>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09" w:name="_Toc9596"/>
      <w:bookmarkStart w:id="210" w:name="_Toc2789"/>
      <w:bookmarkStart w:id="211" w:name="_Toc13832"/>
      <w:bookmarkStart w:id="212" w:name="_Toc6064"/>
      <w:r>
        <w:rPr>
          <w:rFonts w:hint="eastAsia" w:ascii="宋体" w:hAnsi="宋体" w:eastAsia="宋体" w:cs="宋体"/>
          <w:color w:val="auto"/>
          <w:sz w:val="21"/>
          <w:szCs w:val="21"/>
          <w:highlight w:val="none"/>
        </w:rPr>
        <w:t>9.4 现场工艺试验</w:t>
      </w:r>
      <w:bookmarkEnd w:id="209"/>
      <w:bookmarkEnd w:id="210"/>
      <w:bookmarkEnd w:id="211"/>
      <w:bookmarkEnd w:id="212"/>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13" w:name="_Toc27145"/>
      <w:bookmarkStart w:id="214" w:name="_Toc7399"/>
      <w:bookmarkStart w:id="215" w:name="_Toc27754"/>
      <w:bookmarkStart w:id="216" w:name="_Toc11843"/>
      <w:r>
        <w:rPr>
          <w:rFonts w:hint="eastAsia" w:ascii="宋体" w:hAnsi="宋体" w:eastAsia="宋体" w:cs="宋体"/>
          <w:color w:val="auto"/>
          <w:sz w:val="21"/>
          <w:szCs w:val="21"/>
          <w:highlight w:val="none"/>
        </w:rPr>
        <w:t>10.4 变更估价</w:t>
      </w:r>
      <w:bookmarkEnd w:id="213"/>
      <w:bookmarkEnd w:id="214"/>
      <w:bookmarkEnd w:id="215"/>
      <w:bookmarkEnd w:id="21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（1）合同价中已有适用的综合单价，按</w:t>
      </w:r>
      <w:r>
        <w:rPr>
          <w:rFonts w:hint="eastAsia" w:ascii="宋体" w:hAnsi="宋体" w:cs="宋体"/>
          <w:color w:val="auto"/>
          <w:sz w:val="21"/>
          <w:szCs w:val="21"/>
          <w:highlight w:val="none"/>
          <w:u w:val="single"/>
          <w:lang w:eastAsia="zh-CN"/>
        </w:rPr>
        <w:t>最高磋商限价</w:t>
      </w:r>
      <w:r>
        <w:rPr>
          <w:rFonts w:hint="eastAsia" w:ascii="宋体" w:hAnsi="宋体" w:eastAsia="宋体" w:cs="宋体"/>
          <w:color w:val="auto"/>
          <w:sz w:val="21"/>
          <w:szCs w:val="21"/>
          <w:highlight w:val="none"/>
          <w:u w:val="single"/>
        </w:rPr>
        <w:t>中的子目综合单价结合下浮率计算结算价款；（2）合同价中有类似的综合单价，参照</w:t>
      </w:r>
      <w:r>
        <w:rPr>
          <w:rFonts w:hint="eastAsia" w:ascii="宋体" w:hAnsi="宋体" w:cs="宋体"/>
          <w:color w:val="auto"/>
          <w:sz w:val="21"/>
          <w:szCs w:val="21"/>
          <w:highlight w:val="none"/>
          <w:u w:val="single"/>
          <w:lang w:eastAsia="zh-CN"/>
        </w:rPr>
        <w:t>最高磋商限价</w:t>
      </w:r>
      <w:r>
        <w:rPr>
          <w:rFonts w:hint="eastAsia" w:ascii="宋体" w:hAnsi="宋体" w:eastAsia="宋体" w:cs="宋体"/>
          <w:color w:val="auto"/>
          <w:sz w:val="21"/>
          <w:szCs w:val="21"/>
          <w:highlight w:val="none"/>
          <w:u w:val="single"/>
        </w:rPr>
        <w:t>中的子目综合单价结合下浮率计算结算价款；（3）合同价中没有适用或类似的综合单价，由承包人根据</w:t>
      </w:r>
      <w:r>
        <w:rPr>
          <w:rFonts w:hint="eastAsia" w:ascii="宋体" w:hAnsi="宋体" w:cs="宋体"/>
          <w:color w:val="auto"/>
          <w:sz w:val="21"/>
          <w:szCs w:val="21"/>
          <w:highlight w:val="none"/>
          <w:u w:val="single"/>
          <w:lang w:eastAsia="zh-CN"/>
        </w:rPr>
        <w:t>最高磋商限价</w:t>
      </w:r>
      <w:r>
        <w:rPr>
          <w:rFonts w:hint="eastAsia" w:ascii="宋体" w:hAnsi="宋体" w:eastAsia="宋体" w:cs="宋体"/>
          <w:color w:val="auto"/>
          <w:sz w:val="21"/>
          <w:szCs w:val="21"/>
          <w:highlight w:val="none"/>
          <w:u w:val="single"/>
        </w:rPr>
        <w:t>编制依据中的计价原则规定提出适当的综合单价，经发包人或其委托的工程造价咨询单位审定后作为结算依据，</w:t>
      </w:r>
      <w:r>
        <w:rPr>
          <w:rFonts w:hint="eastAsia" w:ascii="宋体" w:hAnsi="宋体" w:eastAsia="宋体" w:cs="宋体"/>
          <w:color w:val="auto"/>
          <w:szCs w:val="21"/>
          <w:highlight w:val="none"/>
          <w:u w:val="single"/>
        </w:rPr>
        <w:t>该综合单价需乘以（1-下浮率）作为实际结算综合单价予以结算，最终结算价以</w:t>
      </w:r>
      <w:r>
        <w:rPr>
          <w:rFonts w:hint="eastAsia" w:ascii="宋体" w:hAnsi="宋体" w:eastAsia="宋体" w:cs="宋体"/>
          <w:color w:val="auto"/>
          <w:sz w:val="21"/>
          <w:szCs w:val="21"/>
          <w:highlight w:val="none"/>
          <w:u w:val="single"/>
        </w:rPr>
        <w:t>发包人或其委托的</w:t>
      </w:r>
      <w:r>
        <w:rPr>
          <w:rFonts w:hint="eastAsia" w:ascii="宋体" w:hAnsi="宋体" w:eastAsia="宋体" w:cs="宋体"/>
          <w:color w:val="auto"/>
          <w:sz w:val="21"/>
          <w:szCs w:val="21"/>
          <w:highlight w:val="none"/>
          <w:u w:val="single"/>
          <w:lang w:eastAsia="zh-CN"/>
        </w:rPr>
        <w:t>其他机构</w:t>
      </w:r>
      <w:r>
        <w:rPr>
          <w:rFonts w:hint="eastAsia" w:ascii="宋体" w:hAnsi="宋体" w:eastAsia="宋体" w:cs="宋体"/>
          <w:color w:val="auto"/>
          <w:szCs w:val="21"/>
          <w:highlight w:val="none"/>
          <w:u w:val="single"/>
        </w:rPr>
        <w:t>审定价为准。其中下浮率=[1-（</w:t>
      </w:r>
      <w:r>
        <w:rPr>
          <w:rFonts w:hint="eastAsia" w:ascii="宋体" w:hAnsi="宋体" w:cs="宋体"/>
          <w:color w:val="auto"/>
          <w:szCs w:val="21"/>
          <w:highlight w:val="none"/>
          <w:u w:val="single"/>
          <w:lang w:eastAsia="zh-CN"/>
        </w:rPr>
        <w:t>成交</w:t>
      </w:r>
      <w:r>
        <w:rPr>
          <w:rFonts w:hint="eastAsia" w:ascii="宋体" w:hAnsi="宋体" w:eastAsia="宋体" w:cs="宋体"/>
          <w:color w:val="auto"/>
          <w:szCs w:val="21"/>
          <w:highlight w:val="none"/>
          <w:u w:val="single"/>
        </w:rPr>
        <w:t>人的</w:t>
      </w:r>
      <w:r>
        <w:rPr>
          <w:rFonts w:hint="eastAsia" w:ascii="宋体" w:hAnsi="宋体" w:cs="宋体"/>
          <w:color w:val="auto"/>
          <w:szCs w:val="21"/>
          <w:highlight w:val="none"/>
          <w:u w:val="single"/>
          <w:lang w:eastAsia="zh-CN"/>
        </w:rPr>
        <w:t>成交</w:t>
      </w:r>
      <w:r>
        <w:rPr>
          <w:rFonts w:hint="eastAsia" w:ascii="宋体" w:hAnsi="宋体" w:eastAsia="宋体" w:cs="宋体"/>
          <w:color w:val="auto"/>
          <w:szCs w:val="21"/>
          <w:highlight w:val="none"/>
          <w:u w:val="single"/>
        </w:rPr>
        <w:t>价-</w:t>
      </w:r>
      <w:r>
        <w:rPr>
          <w:rFonts w:hint="eastAsia" w:ascii="宋体" w:hAnsi="宋体" w:eastAsia="宋体" w:cs="宋体"/>
          <w:color w:val="auto"/>
          <w:szCs w:val="21"/>
          <w:highlight w:val="none"/>
          <w:u w:val="single"/>
          <w:lang w:eastAsia="zh-CN"/>
        </w:rPr>
        <w:t>暂列金额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暂估价</w:t>
      </w:r>
      <w:r>
        <w:rPr>
          <w:rFonts w:hint="eastAsia" w:ascii="宋体" w:hAnsi="宋体" w:eastAsia="宋体" w:cs="宋体"/>
          <w:color w:val="auto"/>
          <w:szCs w:val="21"/>
          <w:highlight w:val="none"/>
          <w:u w:val="single"/>
        </w:rPr>
        <w:t>）/（</w:t>
      </w:r>
      <w:r>
        <w:rPr>
          <w:rFonts w:hint="eastAsia" w:ascii="宋体" w:hAnsi="宋体" w:cs="宋体"/>
          <w:color w:val="auto"/>
          <w:sz w:val="21"/>
          <w:szCs w:val="21"/>
          <w:highlight w:val="none"/>
          <w:u w:val="single"/>
          <w:lang w:eastAsia="zh-CN"/>
        </w:rPr>
        <w:t>最高磋商限价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暂列金额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暂估价</w:t>
      </w:r>
      <w:r>
        <w:rPr>
          <w:rFonts w:hint="eastAsia" w:ascii="宋体" w:hAnsi="宋体" w:eastAsia="宋体" w:cs="宋体"/>
          <w:color w:val="auto"/>
          <w:szCs w:val="21"/>
          <w:highlight w:val="none"/>
          <w:u w:val="single"/>
        </w:rPr>
        <w:t>）]×100%。</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10.5承包人的合理化建议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Cs w:val="21"/>
          <w:highlight w:val="none"/>
          <w:u w:val="singl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17" w:name="_Toc8658"/>
      <w:bookmarkStart w:id="218" w:name="_Toc29382"/>
      <w:bookmarkStart w:id="219" w:name="_Toc3427"/>
      <w:bookmarkStart w:id="220" w:name="_Toc8978"/>
      <w:r>
        <w:rPr>
          <w:rFonts w:hint="eastAsia" w:ascii="宋体" w:hAnsi="宋体" w:eastAsia="宋体" w:cs="宋体"/>
          <w:color w:val="auto"/>
          <w:sz w:val="21"/>
          <w:szCs w:val="21"/>
          <w:highlight w:val="none"/>
        </w:rPr>
        <w:t>10.7 暂估价</w:t>
      </w:r>
      <w:bookmarkEnd w:id="217"/>
      <w:bookmarkEnd w:id="218"/>
      <w:bookmarkEnd w:id="219"/>
      <w:bookmarkEnd w:id="220"/>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10.7.1 依法必须招标的暂估价项目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人后，由发包人、承包人与</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人共同签订暂估价合同。</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种方式确定。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 价格调整</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市场价格波动引起的调整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w:t>
      </w:r>
      <w:r>
        <w:rPr>
          <w:rFonts w:hint="eastAsia" w:ascii="宋体" w:hAnsi="宋体" w:cs="宋体"/>
          <w:color w:val="auto"/>
          <w:sz w:val="21"/>
          <w:szCs w:val="21"/>
          <w:highlight w:val="none"/>
          <w:u w:val="single"/>
          <w:lang w:eastAsia="zh-CN"/>
        </w:rPr>
        <w:t>竞争性磋商文件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12.1 合同价格形式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采用固定总价合同</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人工市场价、材料费及机械费的市场价格变化；除政策性调整、不可抗力以外的其他风险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在</w:t>
      </w:r>
      <w:r>
        <w:rPr>
          <w:rFonts w:hint="eastAsia" w:ascii="宋体" w:hAnsi="宋体" w:cs="宋体"/>
          <w:color w:val="auto"/>
          <w:szCs w:val="21"/>
          <w:highlight w:val="none"/>
          <w:u w:val="single"/>
          <w:lang w:eastAsia="zh-CN"/>
        </w:rPr>
        <w:t>磋商报价</w:t>
      </w:r>
      <w:r>
        <w:rPr>
          <w:rFonts w:hint="eastAsia" w:ascii="宋体" w:hAnsi="宋体" w:eastAsia="宋体" w:cs="宋体"/>
          <w:color w:val="auto"/>
          <w:szCs w:val="21"/>
          <w:highlight w:val="none"/>
          <w:u w:val="single"/>
        </w:rPr>
        <w:t>时已经考虑，不再另行计取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预付合同金额的40%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合同签订及</w:t>
      </w:r>
      <w:r>
        <w:rPr>
          <w:rFonts w:hint="eastAsia" w:ascii="宋体" w:hAnsi="宋体" w:eastAsia="宋体" w:cs="宋体"/>
          <w:color w:val="auto"/>
          <w:sz w:val="21"/>
          <w:szCs w:val="21"/>
          <w:highlight w:val="none"/>
          <w:u w:val="single"/>
          <w:lang w:val="en-US" w:eastAsia="zh-CN"/>
        </w:rPr>
        <w:t>中标人</w:t>
      </w:r>
      <w:r>
        <w:rPr>
          <w:rFonts w:hint="eastAsia" w:ascii="宋体" w:hAnsi="宋体" w:eastAsia="宋体" w:cs="宋体"/>
          <w:color w:val="auto"/>
          <w:sz w:val="21"/>
          <w:szCs w:val="21"/>
          <w:highlight w:val="none"/>
          <w:u w:val="single"/>
        </w:rPr>
        <w:t xml:space="preserve">提供预付款担保后支付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cs="宋体"/>
          <w:szCs w:val="21"/>
          <w:highlight w:val="none"/>
          <w:u w:val="singl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cs="宋体"/>
          <w:szCs w:val="21"/>
          <w:highlight w:val="none"/>
          <w:u w:val="single"/>
        </w:rPr>
        <w:t>在工程竣工验收合格后支付至合同价8</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%的同时一次性扣除</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Cs w:val="21"/>
          <w:highlight w:val="none"/>
          <w:u w:val="single"/>
        </w:rPr>
        <w:t>以相关的国家标准、行业标准等为依据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按月进行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每月25日前提交当月已完工程量报告，监理工程师在2日内审核完毕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lang w:eastAsia="zh-CN"/>
        </w:rPr>
        <w:t>合同签订及中标人提供预付款担保后，支付给承包人合同金额的40%作为预付款，竣工验收合格后支付至合同价款的8</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%（含前期付款），经发包人或其委托的其他机构审定确认实际结算额后付至审定额总价的100%。</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strike w:val="0"/>
          <w:dstrike w:val="0"/>
          <w:color w:val="auto"/>
          <w:szCs w:val="21"/>
          <w:highlight w:val="none"/>
          <w:u w:val="single"/>
          <w:lang w:eastAsia="zh-CN"/>
        </w:rPr>
        <w:t>竞争性磋商文件</w:t>
      </w:r>
      <w:r>
        <w:rPr>
          <w:rFonts w:hint="eastAsia" w:ascii="宋体" w:hAnsi="宋体" w:eastAsia="宋体" w:cs="宋体"/>
          <w:strike w:val="0"/>
          <w:color w:val="auto"/>
          <w:szCs w:val="21"/>
          <w:highlight w:val="none"/>
          <w:u w:val="single"/>
        </w:rPr>
        <w:t>及</w:t>
      </w:r>
      <w:r>
        <w:rPr>
          <w:rFonts w:hint="eastAsia" w:ascii="宋体" w:hAnsi="宋体" w:eastAsia="宋体" w:cs="宋体"/>
          <w:color w:val="auto"/>
          <w:szCs w:val="21"/>
          <w:highlight w:val="none"/>
          <w:u w:val="single"/>
        </w:rPr>
        <w:t>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pPr>
        <w:pageBreakBefore w:val="0"/>
        <w:kinsoku/>
        <w:wordWrap/>
        <w:overflowPunct/>
        <w:topLinePunct w:val="0"/>
        <w:bidi w:val="0"/>
        <w:spacing w:line="240" w:lineRule="auto"/>
        <w:ind w:left="4200" w:leftChars="200" w:hanging="3780" w:hangingChars="18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 验收和工程试车</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pPr>
        <w:pageBreakBefore w:val="0"/>
        <w:kinsoku/>
        <w:wordWrap/>
        <w:overflowPunct/>
        <w:topLinePunct w:val="0"/>
        <w:bidi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竣工验收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pPr>
        <w:pageBreakBefore w:val="0"/>
        <w:kinsoku/>
        <w:wordWrap/>
        <w:overflowPunct/>
        <w:topLinePunct w:val="0"/>
        <w:bidi w:val="0"/>
        <w:spacing w:line="240" w:lineRule="auto"/>
        <w:ind w:left="4200" w:leftChars="200" w:hanging="3780" w:hangingChars="18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21" w:name="_Toc7888"/>
      <w:bookmarkStart w:id="222" w:name="_Toc31312"/>
      <w:bookmarkStart w:id="223" w:name="_Toc6654"/>
      <w:bookmarkStart w:id="224" w:name="_Toc24741"/>
      <w:r>
        <w:rPr>
          <w:rFonts w:hint="eastAsia" w:ascii="宋体" w:hAnsi="宋体" w:eastAsia="宋体" w:cs="宋体"/>
          <w:color w:val="auto"/>
          <w:sz w:val="21"/>
          <w:szCs w:val="21"/>
          <w:highlight w:val="none"/>
        </w:rPr>
        <w:t>13.6 竣工退场</w:t>
      </w:r>
      <w:bookmarkEnd w:id="221"/>
      <w:bookmarkEnd w:id="222"/>
      <w:bookmarkEnd w:id="223"/>
      <w:bookmarkEnd w:id="224"/>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颁发工程接收证书后7日内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 竣工结算</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除执行通用条款外，还必须提交竣工结算审</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所需的资料文件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25" w:name="_Toc54"/>
      <w:bookmarkStart w:id="226" w:name="_Toc20936"/>
      <w:bookmarkStart w:id="227" w:name="_Toc20379"/>
      <w:bookmarkStart w:id="228" w:name="_Toc12779"/>
      <w:r>
        <w:rPr>
          <w:rFonts w:hint="eastAsia" w:ascii="宋体" w:hAnsi="宋体" w:eastAsia="宋体" w:cs="宋体"/>
          <w:color w:val="auto"/>
          <w:sz w:val="21"/>
          <w:szCs w:val="21"/>
          <w:highlight w:val="none"/>
        </w:rPr>
        <w:t>14.2 竣工结算审核</w:t>
      </w:r>
      <w:bookmarkEnd w:id="225"/>
      <w:bookmarkEnd w:id="226"/>
      <w:bookmarkEnd w:id="227"/>
      <w:bookmarkEnd w:id="228"/>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依法定程序竣工结算审</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签发竣工付款证书后60日内</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叁份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颁发最终结算证书后30日内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 缺陷责任期与保修</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lang w:eastAsia="zh-CN"/>
        </w:rPr>
        <w:t>个月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29" w:name="_Toc15832"/>
      <w:bookmarkStart w:id="230" w:name="_Toc25046"/>
      <w:bookmarkStart w:id="231" w:name="_Toc4987"/>
      <w:bookmarkStart w:id="232" w:name="_Toc22641"/>
      <w:r>
        <w:rPr>
          <w:rFonts w:hint="eastAsia" w:ascii="宋体" w:hAnsi="宋体" w:eastAsia="宋体" w:cs="宋体"/>
          <w:color w:val="auto"/>
          <w:sz w:val="21"/>
          <w:szCs w:val="21"/>
          <w:highlight w:val="none"/>
        </w:rPr>
        <w:t>15.3 质量保证金</w:t>
      </w:r>
      <w:bookmarkEnd w:id="229"/>
      <w:bookmarkEnd w:id="230"/>
      <w:bookmarkEnd w:id="231"/>
      <w:bookmarkEnd w:id="232"/>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233" w:name="_Toc5886"/>
      <w:bookmarkStart w:id="234" w:name="_Toc14373"/>
      <w:bookmarkStart w:id="235" w:name="_Toc32379"/>
      <w:bookmarkStart w:id="236" w:name="_Toc16050"/>
      <w:r>
        <w:rPr>
          <w:rFonts w:hint="eastAsia" w:ascii="宋体" w:hAnsi="宋体" w:eastAsia="宋体" w:cs="宋体"/>
          <w:color w:val="auto"/>
          <w:sz w:val="21"/>
          <w:szCs w:val="21"/>
          <w:highlight w:val="none"/>
        </w:rPr>
        <w:t>15.3.1 承包人提供质量保证金的方式</w:t>
      </w:r>
      <w:bookmarkEnd w:id="233"/>
      <w:bookmarkEnd w:id="234"/>
      <w:bookmarkEnd w:id="235"/>
      <w:bookmarkEnd w:id="23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r>
        <w:rPr>
          <w:rFonts w:hint="eastAsia" w:ascii="宋体" w:hAnsi="宋体" w:eastAsia="宋体" w:cs="宋体"/>
          <w:color w:val="auto"/>
          <w:highlight w:val="none"/>
          <w:lang w:val="en-US" w:eastAsia="zh-CN"/>
        </w:rPr>
        <w:t>保函形式为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保证金额为：</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pPr>
        <w:pageBreakBefore w:val="0"/>
        <w:kinsoku/>
        <w:wordWrap/>
        <w:overflowPunct/>
        <w:topLinePunct w:val="0"/>
        <w:autoSpaceDE w:val="0"/>
        <w:autoSpaceDN w:val="0"/>
        <w:bidi w:val="0"/>
        <w:adjustRightInd w:val="0"/>
        <w:spacing w:line="24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237" w:name="_Toc31404"/>
      <w:bookmarkStart w:id="238" w:name="_Toc6871"/>
      <w:bookmarkStart w:id="239" w:name="_Toc26957"/>
      <w:bookmarkStart w:id="240" w:name="_Toc25461"/>
      <w:r>
        <w:rPr>
          <w:rFonts w:hint="eastAsia" w:ascii="宋体" w:hAnsi="宋体" w:eastAsia="宋体" w:cs="宋体"/>
          <w:color w:val="auto"/>
          <w:sz w:val="21"/>
          <w:szCs w:val="21"/>
          <w:highlight w:val="none"/>
        </w:rPr>
        <w:t>15.3.2 质量保证金的扣留</w:t>
      </w:r>
      <w:bookmarkEnd w:id="237"/>
      <w:bookmarkEnd w:id="238"/>
      <w:bookmarkEnd w:id="239"/>
      <w:bookmarkEnd w:id="240"/>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pPr>
        <w:pageBreakBefore w:val="0"/>
        <w:kinsoku/>
        <w:wordWrap/>
        <w:overflowPunct/>
        <w:topLinePunct w:val="0"/>
        <w:autoSpaceDE w:val="0"/>
        <w:autoSpaceDN w:val="0"/>
        <w:bidi w:val="0"/>
        <w:adjustRightInd w:val="0"/>
        <w:spacing w:line="240" w:lineRule="auto"/>
        <w:ind w:firstLine="420" w:firstLineChars="200"/>
        <w:jc w:val="left"/>
        <w:outlineLvl w:val="0"/>
        <w:rPr>
          <w:rFonts w:hint="eastAsia" w:ascii="宋体" w:hAnsi="宋体" w:eastAsia="宋体" w:cs="宋体"/>
          <w:color w:val="auto"/>
          <w:kern w:val="0"/>
          <w:sz w:val="21"/>
          <w:szCs w:val="21"/>
          <w:highlight w:val="none"/>
        </w:rPr>
      </w:pPr>
      <w:bookmarkStart w:id="241" w:name="_Toc27486"/>
      <w:bookmarkStart w:id="242" w:name="_Toc1647"/>
      <w:bookmarkStart w:id="243" w:name="_Toc30669"/>
      <w:bookmarkStart w:id="244" w:name="_Toc30089"/>
      <w:r>
        <w:rPr>
          <w:rFonts w:hint="eastAsia" w:ascii="宋体" w:hAnsi="宋体" w:eastAsia="宋体" w:cs="宋体"/>
          <w:color w:val="auto"/>
          <w:kern w:val="0"/>
          <w:sz w:val="21"/>
          <w:szCs w:val="21"/>
          <w:highlight w:val="none"/>
        </w:rPr>
        <w:t>（2）工程竣工结算时一次性扣留质量保证金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highlight w:val="none"/>
          <w:lang w:val="en-US" w:eastAsia="zh-CN"/>
        </w:rPr>
        <w:t>如为</w:t>
      </w:r>
      <w:r>
        <w:rPr>
          <w:rFonts w:hint="eastAsia" w:ascii="宋体" w:hAnsi="宋体" w:eastAsia="宋体" w:cs="宋体"/>
          <w:color w:val="auto"/>
          <w:kern w:val="0"/>
          <w:sz w:val="21"/>
          <w:szCs w:val="21"/>
          <w:highlight w:val="none"/>
        </w:rPr>
        <w:t>质量保证金</w:t>
      </w:r>
      <w:r>
        <w:rPr>
          <w:rFonts w:hint="eastAsia" w:ascii="宋体" w:hAnsi="宋体" w:eastAsia="宋体" w:cs="宋体"/>
          <w:color w:val="auto"/>
          <w:highlight w:val="none"/>
          <w:lang w:val="en-US" w:eastAsia="zh-CN"/>
        </w:rPr>
        <w:t>保函，承包人按</w:t>
      </w:r>
      <w:r>
        <w:rPr>
          <w:rFonts w:hint="eastAsia" w:ascii="宋体" w:hAnsi="宋体" w:eastAsia="宋体" w:cs="宋体"/>
          <w:color w:val="auto"/>
          <w:kern w:val="0"/>
          <w:sz w:val="21"/>
          <w:szCs w:val="21"/>
          <w:highlight w:val="none"/>
          <w:lang w:val="en-US" w:eastAsia="zh-CN"/>
        </w:rPr>
        <w:t>发包人要求提供</w:t>
      </w:r>
      <w:r>
        <w:rPr>
          <w:rFonts w:hint="eastAsia" w:ascii="宋体" w:hAnsi="宋体" w:eastAsia="宋体" w:cs="宋体"/>
          <w:color w:val="auto"/>
          <w:highlight w:val="none"/>
          <w:lang w:val="en-US" w:eastAsia="zh-CN"/>
        </w:rPr>
        <w:t>银行保函</w:t>
      </w:r>
      <w:r>
        <w:rPr>
          <w:rFonts w:hint="eastAsia" w:ascii="宋体" w:hAnsi="宋体" w:eastAsia="宋体" w:cs="宋体"/>
          <w:color w:val="auto"/>
          <w:kern w:val="0"/>
          <w:sz w:val="21"/>
          <w:szCs w:val="21"/>
          <w:highlight w:val="none"/>
        </w:rPr>
        <w:t>；</w:t>
      </w:r>
      <w:bookmarkEnd w:id="241"/>
      <w:bookmarkEnd w:id="242"/>
      <w:bookmarkEnd w:id="243"/>
      <w:bookmarkEnd w:id="244"/>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pPr>
        <w:pageBreakBefore w:val="0"/>
        <w:kinsoku/>
        <w:wordWrap/>
        <w:overflowPunct/>
        <w:topLinePunct w:val="0"/>
        <w:bidi w:val="0"/>
        <w:spacing w:line="240" w:lineRule="auto"/>
        <w:ind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执行国家相关保修规定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小时内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 违约</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45" w:name="_Toc6958"/>
      <w:bookmarkStart w:id="246" w:name="_Toc31488"/>
      <w:bookmarkStart w:id="247" w:name="_Toc6376"/>
      <w:bookmarkStart w:id="248" w:name="_Toc10292"/>
      <w:r>
        <w:rPr>
          <w:rFonts w:hint="eastAsia" w:ascii="宋体" w:hAnsi="宋体" w:eastAsia="宋体" w:cs="宋体"/>
          <w:color w:val="auto"/>
          <w:sz w:val="21"/>
          <w:szCs w:val="21"/>
          <w:highlight w:val="none"/>
        </w:rPr>
        <w:t>16.1 发包人违约</w:t>
      </w:r>
      <w:bookmarkEnd w:id="245"/>
      <w:bookmarkEnd w:id="246"/>
      <w:bookmarkEnd w:id="247"/>
      <w:bookmarkEnd w:id="248"/>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pPr>
        <w:pageBreakBefore w:val="0"/>
        <w:kinsoku/>
        <w:wordWrap/>
        <w:overflowPunct/>
        <w:topLinePunct w:val="0"/>
        <w:bidi w:val="0"/>
        <w:spacing w:line="240" w:lineRule="auto"/>
        <w:ind w:left="1050" w:leftChars="200" w:hanging="630" w:hanging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left="1500" w:hanging="1050" w:hangingChars="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49" w:name="_Toc32438"/>
      <w:bookmarkStart w:id="250" w:name="_Toc3792"/>
      <w:bookmarkStart w:id="251" w:name="_Toc4335"/>
      <w:bookmarkStart w:id="252" w:name="_Toc17176"/>
      <w:r>
        <w:rPr>
          <w:rFonts w:hint="eastAsia" w:ascii="宋体" w:hAnsi="宋体" w:eastAsia="宋体" w:cs="宋体"/>
          <w:color w:val="auto"/>
          <w:sz w:val="21"/>
          <w:szCs w:val="21"/>
          <w:highlight w:val="none"/>
        </w:rPr>
        <w:t>16.2 承包人违约</w:t>
      </w:r>
      <w:bookmarkEnd w:id="249"/>
      <w:bookmarkEnd w:id="250"/>
      <w:bookmarkEnd w:id="251"/>
      <w:bookmarkEnd w:id="252"/>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Cs w:val="21"/>
          <w:highlight w:val="none"/>
          <w:u w:val="single"/>
          <w:lang w:eastAsia="zh-CN"/>
        </w:rPr>
        <w:t>承包人</w:t>
      </w:r>
      <w:r>
        <w:rPr>
          <w:rFonts w:hint="eastAsia" w:ascii="宋体" w:hAnsi="宋体" w:eastAsia="宋体" w:cs="宋体"/>
          <w:color w:val="auto"/>
          <w:szCs w:val="21"/>
          <w:highlight w:val="none"/>
          <w:u w:val="single"/>
        </w:rPr>
        <w:t>未按</w:t>
      </w:r>
      <w:r>
        <w:rPr>
          <w:rFonts w:hint="eastAsia" w:ascii="宋体" w:hAnsi="宋体" w:cs="宋体"/>
          <w:color w:val="auto"/>
          <w:szCs w:val="21"/>
          <w:highlight w:val="none"/>
          <w:u w:val="single"/>
          <w:lang w:eastAsia="zh-CN"/>
        </w:rPr>
        <w:t>响应文件</w:t>
      </w:r>
      <w:r>
        <w:rPr>
          <w:rFonts w:hint="eastAsia" w:ascii="宋体" w:hAnsi="宋体" w:eastAsia="宋体" w:cs="宋体"/>
          <w:color w:val="auto"/>
          <w:szCs w:val="21"/>
          <w:highlight w:val="none"/>
          <w:u w:val="single"/>
        </w:rPr>
        <w:t>所提交的项目组织机构管理人员和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约定到岗尽职尽责，或未经发包人同意私自更换项目管理人员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pPr>
        <w:pageBreakBefore w:val="0"/>
        <w:kinsoku/>
        <w:wordWrap/>
        <w:overflowPunct/>
        <w:topLinePunct w:val="0"/>
        <w:bidi w:val="0"/>
        <w:spacing w:line="240" w:lineRule="auto"/>
        <w:ind w:left="1050" w:leftChars="200" w:hanging="630" w:hangingChars="3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及通用合同条款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17. 不可抗力 </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除通用合同条款约定的不可抗力事件之外，视为不可抗力的其他情形： </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（1）4级以上的地震；</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（2）8级以上的持续3天的大风；</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（3）连续4日日降雨量达到100mm以上的大雨；</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（4）30毫米以上的持续3天的大雪；</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（5）50年以上未发生过的，持续3天的高温天气；</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（6）50年以上未发生过的，持续3天的低温天气；</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Cs w:val="21"/>
          <w:highlight w:val="none"/>
          <w:u w:val="single"/>
        </w:rPr>
        <w:t>（7）50年以上未发生过的洪水</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53" w:name="_Toc22286"/>
      <w:bookmarkStart w:id="254" w:name="_Toc4538"/>
      <w:bookmarkStart w:id="255" w:name="_Toc23980"/>
      <w:bookmarkStart w:id="256" w:name="_Toc26416"/>
      <w:r>
        <w:rPr>
          <w:rFonts w:hint="eastAsia" w:ascii="宋体" w:hAnsi="宋体" w:eastAsia="宋体" w:cs="宋体"/>
          <w:color w:val="auto"/>
          <w:sz w:val="21"/>
          <w:szCs w:val="21"/>
          <w:highlight w:val="none"/>
        </w:rPr>
        <w:t>17.4 因不可抗力解除合同</w:t>
      </w:r>
      <w:bookmarkEnd w:id="253"/>
      <w:bookmarkEnd w:id="254"/>
      <w:bookmarkEnd w:id="255"/>
      <w:bookmarkEnd w:id="25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 保险</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所有工程保险费用均由承包人承担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57" w:name="_Toc11649"/>
      <w:bookmarkStart w:id="258" w:name="_Toc878"/>
      <w:bookmarkStart w:id="259" w:name="_Toc27652"/>
      <w:bookmarkStart w:id="260" w:name="_Toc8905"/>
      <w:r>
        <w:rPr>
          <w:rFonts w:hint="eastAsia" w:ascii="宋体" w:hAnsi="宋体" w:eastAsia="宋体" w:cs="宋体"/>
          <w:color w:val="auto"/>
          <w:sz w:val="21"/>
          <w:szCs w:val="21"/>
          <w:highlight w:val="none"/>
        </w:rPr>
        <w:t>18.3 其他保险</w:t>
      </w:r>
      <w:bookmarkEnd w:id="257"/>
      <w:bookmarkEnd w:id="258"/>
      <w:bookmarkEnd w:id="259"/>
      <w:bookmarkEnd w:id="260"/>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 争议解决</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61" w:name="_Toc24152"/>
      <w:bookmarkStart w:id="262" w:name="_Toc23589"/>
      <w:bookmarkStart w:id="263" w:name="_Toc11054"/>
      <w:bookmarkStart w:id="264" w:name="_Toc7098"/>
      <w:r>
        <w:rPr>
          <w:rFonts w:hint="eastAsia" w:ascii="宋体" w:hAnsi="宋体" w:eastAsia="宋体" w:cs="宋体"/>
          <w:color w:val="auto"/>
          <w:sz w:val="21"/>
          <w:szCs w:val="21"/>
          <w:highlight w:val="none"/>
        </w:rPr>
        <w:t>20.3 争议评审</w:t>
      </w:r>
      <w:bookmarkEnd w:id="261"/>
      <w:bookmarkEnd w:id="262"/>
      <w:bookmarkEnd w:id="263"/>
      <w:bookmarkEnd w:id="264"/>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265" w:name="_Toc27231"/>
      <w:bookmarkStart w:id="266" w:name="_Toc2029"/>
      <w:bookmarkStart w:id="267" w:name="_Toc16151"/>
      <w:bookmarkStart w:id="268" w:name="_Toc4664"/>
      <w:r>
        <w:rPr>
          <w:rFonts w:hint="eastAsia" w:ascii="宋体" w:hAnsi="宋体" w:eastAsia="宋体" w:cs="宋体"/>
          <w:color w:val="auto"/>
          <w:sz w:val="21"/>
          <w:szCs w:val="21"/>
          <w:highlight w:val="none"/>
        </w:rPr>
        <w:t>20.3.1 争议评审小组的确定</w:t>
      </w:r>
      <w:bookmarkEnd w:id="265"/>
      <w:bookmarkEnd w:id="266"/>
      <w:bookmarkEnd w:id="267"/>
      <w:bookmarkEnd w:id="268"/>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outlineLvl w:val="0"/>
        <w:rPr>
          <w:rFonts w:hint="eastAsia" w:ascii="宋体" w:hAnsi="宋体" w:eastAsia="宋体" w:cs="宋体"/>
          <w:color w:val="auto"/>
          <w:kern w:val="0"/>
          <w:sz w:val="21"/>
          <w:szCs w:val="21"/>
          <w:highlight w:val="none"/>
        </w:rPr>
      </w:pPr>
      <w:bookmarkStart w:id="269" w:name="_Toc21635"/>
      <w:bookmarkStart w:id="270" w:name="_Toc9691"/>
      <w:bookmarkStart w:id="271" w:name="_Toc27311"/>
      <w:bookmarkStart w:id="272" w:name="_Toc13655"/>
      <w:r>
        <w:rPr>
          <w:rFonts w:hint="eastAsia" w:ascii="宋体" w:hAnsi="宋体" w:eastAsia="宋体" w:cs="宋体"/>
          <w:color w:val="auto"/>
          <w:kern w:val="0"/>
          <w:sz w:val="21"/>
          <w:szCs w:val="21"/>
          <w:highlight w:val="none"/>
        </w:rPr>
        <w:t>20.3.2 争议评审小组的决定</w:t>
      </w:r>
      <w:bookmarkEnd w:id="269"/>
      <w:bookmarkEnd w:id="270"/>
      <w:bookmarkEnd w:id="271"/>
      <w:bookmarkEnd w:id="272"/>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73" w:name="_Toc11715"/>
      <w:bookmarkStart w:id="274" w:name="_Toc32204"/>
      <w:bookmarkStart w:id="275" w:name="_Toc1779"/>
      <w:bookmarkStart w:id="276" w:name="_Toc29246"/>
      <w:r>
        <w:rPr>
          <w:rFonts w:hint="eastAsia" w:ascii="宋体" w:hAnsi="宋体" w:eastAsia="宋体" w:cs="宋体"/>
          <w:color w:val="auto"/>
          <w:sz w:val="21"/>
          <w:szCs w:val="21"/>
          <w:highlight w:val="none"/>
        </w:rPr>
        <w:t>20.4仲裁或诉讼</w:t>
      </w:r>
      <w:bookmarkEnd w:id="273"/>
      <w:bookmarkEnd w:id="274"/>
      <w:bookmarkEnd w:id="275"/>
      <w:bookmarkEnd w:id="276"/>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种方式解决：</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安庆</w:t>
      </w:r>
      <w:r>
        <w:rPr>
          <w:rFonts w:hint="eastAsia" w:ascii="宋体" w:hAnsi="宋体" w:eastAsia="宋体" w:cs="宋体"/>
          <w:color w:val="auto"/>
          <w:sz w:val="21"/>
          <w:szCs w:val="21"/>
          <w:highlight w:val="none"/>
        </w:rPr>
        <w:t>仲裁委员会申请仲裁；</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lang w:val="en-US" w:eastAsia="zh-CN"/>
        </w:rPr>
        <w:t xml:space="preserve"> 工程所在地有管辖权的 </w:t>
      </w:r>
      <w:r>
        <w:rPr>
          <w:rFonts w:hint="eastAsia" w:ascii="宋体" w:hAnsi="宋体" w:eastAsia="宋体" w:cs="宋体"/>
          <w:color w:val="auto"/>
          <w:sz w:val="21"/>
          <w:szCs w:val="21"/>
          <w:highlight w:val="none"/>
        </w:rPr>
        <w:t>人民法院起诉。</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21.补充条款</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1.承包人必须严格按《安庆市人民政府办公室关于印发安庆市工程建设领域农民工工资专用账户和工程款分账管理办法的通知》（宜政办秘〔2021〕17号）的规定执行。</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2.承包人应严格按照国家有关法律、法规和</w:t>
      </w:r>
      <w:r>
        <w:rPr>
          <w:rFonts w:hint="eastAsia" w:ascii="宋体" w:hAnsi="宋体" w:cs="宋体"/>
          <w:b/>
          <w:color w:val="auto"/>
          <w:sz w:val="21"/>
          <w:szCs w:val="21"/>
          <w:highlight w:val="none"/>
          <w:lang w:eastAsia="zh-CN"/>
        </w:rPr>
        <w:t>竞争性磋商文件</w:t>
      </w:r>
      <w:r>
        <w:rPr>
          <w:rFonts w:hint="eastAsia" w:ascii="宋体" w:hAnsi="宋体" w:eastAsia="宋体" w:cs="宋体"/>
          <w:b/>
          <w:color w:val="auto"/>
          <w:sz w:val="21"/>
          <w:szCs w:val="21"/>
          <w:highlight w:val="none"/>
        </w:rPr>
        <w:t>、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3.承包人应仔细勘查现场，充分考虑现场装卸条件、材料堆放、实际状况等施工环境和市场风险，由此造成的造价增加或工期延误等一切责任均由承包人自负。</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4.承包人必须根据发包人的要求采取切实可行的措施并确保交通畅通和安全，施工中采取保护措施，确保各类管线安全运营，确保沿线居民出行通畅，将施工给群众带来的干扰降至最低。</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5.工程施工期间，承包人必须按照</w:t>
      </w:r>
      <w:r>
        <w:rPr>
          <w:rFonts w:hint="eastAsia" w:ascii="宋体" w:hAnsi="宋体" w:cs="宋体"/>
          <w:b/>
          <w:color w:val="auto"/>
          <w:sz w:val="21"/>
          <w:szCs w:val="21"/>
          <w:highlight w:val="none"/>
          <w:lang w:eastAsia="zh-CN"/>
        </w:rPr>
        <w:t>竞争性磋商文件</w:t>
      </w:r>
      <w:r>
        <w:rPr>
          <w:rFonts w:hint="eastAsia" w:ascii="宋体" w:hAnsi="宋体" w:eastAsia="宋体" w:cs="宋体"/>
          <w:b/>
          <w:color w:val="auto"/>
          <w:sz w:val="21"/>
          <w:szCs w:val="21"/>
          <w:highlight w:val="none"/>
        </w:rPr>
        <w:t>要求和响应文件承诺，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6.开展党建工作要求</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根据《中国共产党支部工作条例（试行）》第二章组织设置第五条：为期6个月以上的工程、工作项目等，符合条件的，应当成立党支部。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ageBreakBefore w:val="0"/>
        <w:kinsoku/>
        <w:wordWrap/>
        <w:overflowPunct/>
        <w:topLinePunct w:val="0"/>
        <w:bidi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协议书附件：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附件1：承包人承揽工程项目一览表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附件2：发包人供应材料设备一览表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附件3：工程质量保修书</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附件4：主要建设工程文件目录</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附件5：承包人用于本工程施工的机械设备表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附件6：承包人主要施工管理人员表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附件7：分包人主要施工管理人员表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附件8：履约担保格式</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附件9：预付款担保格式</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附件10：支付担保格式</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附件11：暂估价一览表</w:t>
      </w: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承包人承揽工程项目一览表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705"/>
        <w:gridCol w:w="1222"/>
        <w:gridCol w:w="707"/>
        <w:gridCol w:w="851"/>
        <w:gridCol w:w="1377"/>
        <w:gridCol w:w="943"/>
        <w:gridCol w:w="879"/>
        <w:gridCol w:w="1082"/>
        <w:gridCol w:w="10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1705"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22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707"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结构形式</w:t>
            </w:r>
          </w:p>
        </w:tc>
        <w:tc>
          <w:tcPr>
            <w:tcW w:w="85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1377"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43"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设备安装内容</w:t>
            </w:r>
          </w:p>
        </w:tc>
        <w:tc>
          <w:tcPr>
            <w:tcW w:w="879"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合同价格（元）</w:t>
            </w:r>
          </w:p>
        </w:tc>
        <w:tc>
          <w:tcPr>
            <w:tcW w:w="108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1085"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24"/>
        <w:rPr>
          <w:rFonts w:hint="eastAsia"/>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77" w:name="_Toc296944564"/>
      <w:bookmarkStart w:id="278" w:name="_Toc267261692"/>
      <w:bookmarkStart w:id="279" w:name="_Toc296891265"/>
      <w:bookmarkStart w:id="280" w:name="_Toc296503225"/>
      <w:bookmarkStart w:id="281" w:name="_Toc296346726"/>
      <w:bookmarkStart w:id="282" w:name="_Toc296891053"/>
      <w:bookmarkStart w:id="283" w:name="_Toc296347224"/>
      <w:r>
        <w:rPr>
          <w:rFonts w:hint="eastAsia" w:ascii="宋体" w:hAnsi="宋体" w:eastAsia="宋体" w:cs="宋体"/>
          <w:color w:val="auto"/>
          <w:szCs w:val="21"/>
          <w:highlight w:val="none"/>
        </w:rPr>
        <w:t>件2：</w:t>
      </w:r>
    </w:p>
    <w:bookmarkEnd w:id="277"/>
    <w:bookmarkEnd w:id="278"/>
    <w:bookmarkEnd w:id="279"/>
    <w:bookmarkEnd w:id="280"/>
    <w:bookmarkEnd w:id="281"/>
    <w:bookmarkEnd w:id="282"/>
    <w:bookmarkEnd w:id="283"/>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发包人供应材料设备一览表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6"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0"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设备品种</w:t>
            </w:r>
          </w:p>
        </w:tc>
        <w:tc>
          <w:tcPr>
            <w:tcW w:w="1418"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94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5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44"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99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85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供应时间</w:t>
            </w:r>
          </w:p>
        </w:tc>
        <w:tc>
          <w:tcPr>
            <w:tcW w:w="1487"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送达地点</w:t>
            </w:r>
          </w:p>
        </w:tc>
        <w:tc>
          <w:tcPr>
            <w:tcW w:w="99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24"/>
        <w:rPr>
          <w:rFonts w:hint="eastAsia"/>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84" w:name="_Toc296944565"/>
      <w:bookmarkStart w:id="285" w:name="_Toc296347225"/>
      <w:bookmarkStart w:id="286" w:name="_Toc267261693"/>
      <w:bookmarkStart w:id="287" w:name="_Toc296346727"/>
      <w:bookmarkStart w:id="288" w:name="_Toc296891054"/>
      <w:bookmarkStart w:id="289" w:name="_Toc296891266"/>
      <w:bookmarkStart w:id="290" w:name="_Toc296503226"/>
      <w:r>
        <w:rPr>
          <w:rFonts w:hint="eastAsia" w:ascii="宋体" w:hAnsi="宋体" w:eastAsia="宋体" w:cs="宋体"/>
          <w:color w:val="auto"/>
          <w:szCs w:val="21"/>
          <w:highlight w:val="none"/>
        </w:rPr>
        <w:t>件3：</w:t>
      </w:r>
      <w:bookmarkEnd w:id="284"/>
      <w:bookmarkEnd w:id="285"/>
      <w:bookmarkEnd w:id="286"/>
      <w:bookmarkEnd w:id="287"/>
      <w:bookmarkEnd w:id="288"/>
      <w:bookmarkEnd w:id="289"/>
      <w:bookmarkEnd w:id="290"/>
    </w:p>
    <w:p>
      <w:pPr>
        <w:pageBreakBefore w:val="0"/>
        <w:kinsoku/>
        <w:wordWrap/>
        <w:overflowPunct/>
        <w:topLinePunct w:val="0"/>
        <w:bidi w:val="0"/>
        <w:spacing w:before="156" w:beforeLines="50" w:after="156"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291" w:name="_Toc13923"/>
      <w:bookmarkStart w:id="292" w:name="_Toc6211"/>
      <w:bookmarkStart w:id="293" w:name="_Toc31580"/>
      <w:bookmarkStart w:id="294" w:name="_Toc23173"/>
      <w:r>
        <w:rPr>
          <w:rFonts w:hint="eastAsia" w:ascii="宋体" w:hAnsi="宋体" w:eastAsia="宋体" w:cs="宋体"/>
          <w:color w:val="auto"/>
          <w:sz w:val="21"/>
          <w:szCs w:val="21"/>
          <w:highlight w:val="none"/>
        </w:rPr>
        <w:t>一、工程质量保修范围和内容</w:t>
      </w:r>
      <w:bookmarkEnd w:id="291"/>
      <w:bookmarkEnd w:id="292"/>
      <w:bookmarkEnd w:id="293"/>
      <w:bookmarkEnd w:id="294"/>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承包人在质量保修期内，按照有关法律规定和合同约定，承担工程质量保修责任。</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w:t>
      </w:r>
      <w:bookmarkStart w:id="295" w:name="_Toc2798"/>
      <w:bookmarkStart w:id="296" w:name="_Toc11050"/>
      <w:bookmarkStart w:id="297" w:name="_Toc23961"/>
      <w:bookmarkStart w:id="298" w:name="_Toc21489"/>
      <w:r>
        <w:rPr>
          <w:rFonts w:hint="eastAsia" w:ascii="宋体" w:hAnsi="宋体" w:eastAsia="宋体" w:cs="宋体"/>
          <w:color w:val="auto"/>
          <w:sz w:val="21"/>
          <w:szCs w:val="21"/>
          <w:highlight w:val="none"/>
        </w:rPr>
        <w:t>二、质量保修期</w:t>
      </w:r>
      <w:bookmarkEnd w:id="295"/>
      <w:bookmarkEnd w:id="296"/>
      <w:bookmarkEnd w:id="297"/>
      <w:bookmarkEnd w:id="298"/>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质量保修期自工程竣工验收合格之日起计算。</w:t>
      </w:r>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sz w:val="21"/>
          <w:szCs w:val="21"/>
          <w:highlight w:val="none"/>
        </w:rPr>
      </w:pPr>
      <w:bookmarkStart w:id="299" w:name="_Toc11117"/>
      <w:bookmarkStart w:id="300" w:name="_Toc2139"/>
      <w:bookmarkStart w:id="301" w:name="_Toc4559"/>
      <w:bookmarkStart w:id="302" w:name="_Toc13430"/>
      <w:r>
        <w:rPr>
          <w:rFonts w:hint="eastAsia" w:ascii="宋体" w:hAnsi="宋体" w:eastAsia="宋体" w:cs="宋体"/>
          <w:color w:val="auto"/>
          <w:sz w:val="21"/>
          <w:szCs w:val="21"/>
          <w:highlight w:val="none"/>
        </w:rPr>
        <w:t>三、缺陷责任期</w:t>
      </w:r>
      <w:bookmarkEnd w:id="299"/>
      <w:bookmarkEnd w:id="300"/>
      <w:bookmarkEnd w:id="301"/>
      <w:bookmarkEnd w:id="302"/>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303" w:name="_Toc31780"/>
      <w:bookmarkStart w:id="304" w:name="_Toc11514"/>
      <w:bookmarkStart w:id="305" w:name="_Toc11376"/>
      <w:bookmarkStart w:id="306" w:name="_Toc28942"/>
      <w:r>
        <w:rPr>
          <w:rFonts w:hint="eastAsia" w:ascii="宋体" w:hAnsi="宋体" w:eastAsia="宋体" w:cs="宋体"/>
          <w:color w:val="auto"/>
          <w:sz w:val="21"/>
          <w:szCs w:val="21"/>
          <w:highlight w:val="none"/>
        </w:rPr>
        <w:t>四、质量保修责任</w:t>
      </w:r>
      <w:bookmarkEnd w:id="303"/>
      <w:bookmarkEnd w:id="304"/>
      <w:bookmarkEnd w:id="305"/>
      <w:bookmarkEnd w:id="306"/>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307" w:name="_Toc23250"/>
      <w:bookmarkStart w:id="308" w:name="_Toc20699"/>
      <w:bookmarkStart w:id="309" w:name="_Toc23242"/>
      <w:bookmarkStart w:id="310" w:name="_Toc2556"/>
      <w:r>
        <w:rPr>
          <w:rFonts w:hint="eastAsia" w:ascii="宋体" w:hAnsi="宋体" w:eastAsia="宋体" w:cs="宋体"/>
          <w:color w:val="auto"/>
          <w:sz w:val="21"/>
          <w:szCs w:val="21"/>
          <w:highlight w:val="none"/>
        </w:rPr>
        <w:t>五、保修费用</w:t>
      </w:r>
      <w:bookmarkEnd w:id="307"/>
      <w:bookmarkEnd w:id="308"/>
      <w:bookmarkEnd w:id="309"/>
      <w:bookmarkEnd w:id="310"/>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保修费用由造成质量缺陷的责任方承担。</w:t>
      </w:r>
    </w:p>
    <w:p>
      <w:pPr>
        <w:pageBreakBefore w:val="0"/>
        <w:kinsoku/>
        <w:wordWrap/>
        <w:overflowPunct/>
        <w:topLinePunct w:val="0"/>
        <w:bidi w:val="0"/>
        <w:spacing w:line="240" w:lineRule="auto"/>
        <w:ind w:firstLine="422" w:firstLineChars="200"/>
        <w:jc w:val="left"/>
        <w:outlineLvl w:val="0"/>
        <w:rPr>
          <w:rFonts w:hint="eastAsia" w:ascii="宋体" w:hAnsi="宋体" w:eastAsia="宋体" w:cs="宋体"/>
          <w:color w:val="auto"/>
          <w:sz w:val="21"/>
          <w:szCs w:val="21"/>
          <w:highlight w:val="none"/>
          <w:u w:val="single"/>
        </w:rPr>
      </w:pPr>
      <w:bookmarkStart w:id="311" w:name="_Toc15511"/>
      <w:bookmarkStart w:id="312" w:name="_Toc22399"/>
      <w:bookmarkStart w:id="313" w:name="_Toc28329"/>
      <w:bookmarkStart w:id="314" w:name="_Toc28827"/>
      <w:r>
        <w:rPr>
          <w:rFonts w:hint="eastAsia" w:ascii="宋体" w:hAnsi="宋体" w:eastAsia="宋体" w:cs="宋体"/>
          <w:b/>
          <w:color w:val="auto"/>
          <w:sz w:val="21"/>
          <w:szCs w:val="21"/>
          <w:highlight w:val="none"/>
        </w:rPr>
        <w:t>六</w:t>
      </w:r>
      <w:r>
        <w:rPr>
          <w:rFonts w:hint="eastAsia" w:ascii="宋体" w:hAnsi="宋体" w:eastAsia="宋体" w:cs="宋体"/>
          <w:color w:val="auto"/>
          <w:sz w:val="21"/>
          <w:szCs w:val="21"/>
          <w:highlight w:val="none"/>
        </w:rPr>
        <w:t>、双方约定的其他工程质量保修事项：</w:t>
      </w:r>
      <w:bookmarkEnd w:id="311"/>
      <w:bookmarkEnd w:id="312"/>
      <w:bookmarkEnd w:id="313"/>
      <w:bookmarkEnd w:id="314"/>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pPr>
        <w:pageBreakBefore w:val="0"/>
        <w:kinsoku/>
        <w:wordWrap/>
        <w:overflowPunct/>
        <w:topLinePunct w:val="0"/>
        <w:bidi w:val="0"/>
        <w:spacing w:line="240" w:lineRule="auto"/>
        <w:ind w:firstLine="420"/>
        <w:rPr>
          <w:rFonts w:hint="eastAsia" w:ascii="宋体" w:hAnsi="宋体" w:eastAsia="宋体" w:cs="宋体"/>
          <w:color w:val="auto"/>
          <w:sz w:val="21"/>
          <w:szCs w:val="21"/>
          <w:highlight w:val="none"/>
        </w:rPr>
      </w:pP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beforeAutospacing="0" w:afterAutospacing="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83"/>
        <w:rPr>
          <w:rFonts w:hint="eastAsia"/>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主要建设工程文件目录</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套数</w:t>
            </w:r>
          </w:p>
        </w:tc>
        <w:tc>
          <w:tcPr>
            <w:tcW w:w="145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1450" w:type="dxa"/>
            <w:tcBorders>
              <w:top w:val="single" w:color="auto" w:sz="12" w:space="0"/>
              <w:bottom w:val="double" w:color="auto" w:sz="6"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315" w:name="_Toc296944566"/>
      <w:bookmarkStart w:id="316" w:name="_Toc296346728"/>
      <w:bookmarkStart w:id="317" w:name="_Toc296891267"/>
      <w:bookmarkStart w:id="318" w:name="_Toc296347226"/>
      <w:bookmarkStart w:id="319" w:name="_Toc296503227"/>
      <w:bookmarkStart w:id="320" w:name="_Toc296891055"/>
      <w:bookmarkStart w:id="321" w:name="_Toc267261698"/>
      <w:r>
        <w:rPr>
          <w:rFonts w:hint="eastAsia" w:ascii="宋体" w:hAnsi="宋体" w:eastAsia="宋体" w:cs="宋体"/>
          <w:color w:val="auto"/>
          <w:szCs w:val="21"/>
          <w:highlight w:val="none"/>
        </w:rPr>
        <w:t>件5：</w:t>
      </w:r>
    </w:p>
    <w:bookmarkEnd w:id="315"/>
    <w:bookmarkEnd w:id="316"/>
    <w:bookmarkEnd w:id="317"/>
    <w:bookmarkEnd w:id="318"/>
    <w:bookmarkEnd w:id="319"/>
    <w:bookmarkEnd w:id="320"/>
    <w:bookmarkEnd w:id="321"/>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承包人用于本工程施工的机械设备表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8"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058"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8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02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2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322" w:name="_Toc296346729"/>
      <w:bookmarkStart w:id="323" w:name="_Toc296891056"/>
      <w:bookmarkStart w:id="324" w:name="_Toc296503228"/>
      <w:bookmarkStart w:id="325" w:name="_Toc296944567"/>
      <w:bookmarkStart w:id="326" w:name="_Toc296891268"/>
      <w:bookmarkStart w:id="327" w:name="_Toc267261699"/>
      <w:bookmarkStart w:id="328" w:name="_Toc296347227"/>
      <w:r>
        <w:rPr>
          <w:rFonts w:hint="eastAsia" w:ascii="宋体" w:hAnsi="宋体" w:eastAsia="宋体" w:cs="宋体"/>
          <w:color w:val="auto"/>
          <w:szCs w:val="21"/>
          <w:highlight w:val="none"/>
        </w:rPr>
        <w:t>件6：</w:t>
      </w:r>
    </w:p>
    <w:bookmarkEnd w:id="322"/>
    <w:bookmarkEnd w:id="323"/>
    <w:bookmarkEnd w:id="324"/>
    <w:bookmarkEnd w:id="325"/>
    <w:bookmarkEnd w:id="326"/>
    <w:bookmarkEnd w:id="327"/>
    <w:bookmarkEnd w:id="328"/>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18"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bottom w:val="single" w:color="auto" w:sz="12"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bottom w:val="single" w:color="auto" w:sz="12"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329" w:name="_Toc296891269"/>
      <w:bookmarkStart w:id="330" w:name="_Toc296944568"/>
      <w:bookmarkStart w:id="331" w:name="_Toc296346730"/>
      <w:bookmarkStart w:id="332" w:name="_Toc296503229"/>
      <w:bookmarkStart w:id="333" w:name="_Toc296347228"/>
      <w:bookmarkStart w:id="334" w:name="_Toc296891057"/>
      <w:r>
        <w:rPr>
          <w:rFonts w:hint="eastAsia" w:ascii="宋体" w:hAnsi="宋体" w:eastAsia="宋体" w:cs="宋体"/>
          <w:color w:val="auto"/>
          <w:szCs w:val="21"/>
          <w:highlight w:val="none"/>
        </w:rPr>
        <w:t>件7：</w:t>
      </w:r>
    </w:p>
    <w:bookmarkEnd w:id="329"/>
    <w:bookmarkEnd w:id="330"/>
    <w:bookmarkEnd w:id="331"/>
    <w:bookmarkEnd w:id="332"/>
    <w:bookmarkEnd w:id="333"/>
    <w:bookmarkEnd w:id="334"/>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分包人主要施工管理人员表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18"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top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tcBorders>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bottom w:val="single" w:color="auto" w:sz="6" w:space="0"/>
            </w:tcBorders>
            <w:noWrap w:val="0"/>
            <w:vAlign w:val="center"/>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bookmarkStart w:id="335" w:name="_Toc267261701"/>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336" w:name="_Toc296346732"/>
      <w:bookmarkStart w:id="337" w:name="_Toc296503231"/>
      <w:bookmarkStart w:id="338" w:name="_Toc296347230"/>
      <w:bookmarkStart w:id="339" w:name="_Toc296891271"/>
      <w:bookmarkStart w:id="340" w:name="_Toc296944570"/>
      <w:bookmarkStart w:id="341" w:name="_Toc296891059"/>
      <w:r>
        <w:rPr>
          <w:rFonts w:hint="eastAsia" w:ascii="宋体" w:hAnsi="宋体" w:eastAsia="宋体" w:cs="宋体"/>
          <w:color w:val="auto"/>
          <w:szCs w:val="21"/>
          <w:highlight w:val="none"/>
        </w:rPr>
        <w:t>件8：</w:t>
      </w:r>
    </w:p>
    <w:bookmarkEnd w:id="335"/>
    <w:bookmarkEnd w:id="336"/>
    <w:bookmarkEnd w:id="337"/>
    <w:bookmarkEnd w:id="338"/>
    <w:bookmarkEnd w:id="339"/>
    <w:bookmarkEnd w:id="340"/>
    <w:bookmarkEnd w:id="341"/>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（发包人名称）：</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发包人名称，以下简称“发包人”）与（承包人名称）（以下称“承包人”）于年月日就（工程名称）施工及有关事项协商一致共同签订《建设工程施工合同》。我方愿意无条件地、不可撤销地就承包人履行与你方签订的合同，向你方提供连带责任担保。</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2.担保有效期自你方与承包人签订的合同生效之日起至你方签发或应签发工程接收证书之日止。</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3.在本担保有效期内，因承包人违反合同约定的义务给你方造成经济损失时，我方在收到你方以书面形式提出的在担保金额内的赔偿要求后，在7天内无条件支付。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4.你方和承包人按合同约定变更合同时，我方承担本担保规定的义务不变。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5.因本保函发生的纠纷，可由双方协商解决，协商不成的，任何一方均可提请仲裁委员会仲裁。</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6.本保函自我方法定代表人（或其</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代理人）签字并加盖公章之日起生效。</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担保人：（盖单位章）</w:t>
      </w:r>
    </w:p>
    <w:p>
      <w:pPr>
        <w:pageBreakBefore w:val="0"/>
        <w:kinsoku/>
        <w:wordWrap/>
        <w:overflowPunct/>
        <w:topLinePunct w:val="0"/>
        <w:bidi w:val="0"/>
        <w:spacing w:beforeAutospacing="0" w:afterAutospacing="0" w:line="24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电话：</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传真：</w:t>
      </w:r>
    </w:p>
    <w:p>
      <w:pPr>
        <w:pageBreakBefore w:val="0"/>
        <w:kinsoku/>
        <w:wordWrap/>
        <w:overflowPunct/>
        <w:topLinePunct w:val="0"/>
        <w:bidi w:val="0"/>
        <w:spacing w:beforeAutospacing="0" w:afterAutospacing="0" w:line="240" w:lineRule="auto"/>
        <w:ind w:left="1329" w:hanging="1329" w:hangingChars="63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342" w:name="_Toc267261702"/>
      <w:bookmarkStart w:id="343" w:name="_Toc296891272"/>
      <w:bookmarkStart w:id="344" w:name="_Toc296503232"/>
      <w:bookmarkStart w:id="345" w:name="_Toc296944571"/>
      <w:bookmarkStart w:id="346" w:name="_Toc296347231"/>
      <w:bookmarkStart w:id="347" w:name="_Toc296891060"/>
      <w:bookmarkStart w:id="348" w:name="_Toc296346733"/>
      <w:r>
        <w:rPr>
          <w:rFonts w:hint="eastAsia" w:ascii="宋体" w:hAnsi="宋体" w:eastAsia="宋体" w:cs="宋体"/>
          <w:color w:val="auto"/>
          <w:szCs w:val="21"/>
          <w:highlight w:val="none"/>
        </w:rPr>
        <w:t>件9：</w:t>
      </w:r>
    </w:p>
    <w:bookmarkEnd w:id="342"/>
    <w:bookmarkEnd w:id="343"/>
    <w:bookmarkEnd w:id="344"/>
    <w:bookmarkEnd w:id="345"/>
    <w:bookmarkEnd w:id="346"/>
    <w:bookmarkEnd w:id="347"/>
    <w:bookmarkEnd w:id="348"/>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（发包人名称）：</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根据（承包人名称）（以下称“承包人”）与（发包人名称）（以下简称“发包人”）</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日签订的（工程名称）《建设工程施工合同》，承包人按约定的金额向你方提交一份预付款担保，即有权得到你方支付相等金额的预付款。我方愿意就你方提供给承包人的预付款为承包人提供连带责任担保。</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2.担保有效期自预付款支付给承包人起生效，至你方签发的进度款支付证书说明已完全扣清止。</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4.你方和承包人按合同约定变更合同时，我方承担本保函规定的义务不变。</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5.因本保函发生的纠纷，可由双方协商解决，协商不成的，任何一方均可提请仲裁委员会仲裁。</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6.本保函自我方法定代表人（或其</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代理人）签字并加盖公章之日起生效。</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担保人：（盖单位章）</w:t>
      </w:r>
    </w:p>
    <w:p>
      <w:pPr>
        <w:pageBreakBefore w:val="0"/>
        <w:kinsoku/>
        <w:wordWrap/>
        <w:overflowPunct/>
        <w:topLinePunct w:val="0"/>
        <w:bidi w:val="0"/>
        <w:spacing w:beforeAutospacing="0" w:afterAutospacing="0" w:line="24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lang w:val="en-US" w:eastAsia="zh-CN"/>
        </w:rPr>
        <w:t xml:space="preserve">     </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Style w:val="83"/>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349" w:name="_Toc296891273"/>
      <w:bookmarkStart w:id="350" w:name="_Toc296944572"/>
      <w:bookmarkStart w:id="351" w:name="_Toc296347232"/>
      <w:bookmarkStart w:id="352" w:name="_Toc296891061"/>
      <w:bookmarkStart w:id="353" w:name="_Toc296503233"/>
      <w:bookmarkStart w:id="354" w:name="_Toc296346734"/>
      <w:r>
        <w:rPr>
          <w:rFonts w:hint="eastAsia" w:ascii="宋体" w:hAnsi="宋体" w:eastAsia="宋体" w:cs="宋体"/>
          <w:color w:val="auto"/>
          <w:szCs w:val="21"/>
          <w:highlight w:val="none"/>
        </w:rPr>
        <w:t>件10:</w:t>
      </w:r>
    </w:p>
    <w:bookmarkEnd w:id="349"/>
    <w:bookmarkEnd w:id="350"/>
    <w:bookmarkEnd w:id="351"/>
    <w:bookmarkEnd w:id="352"/>
    <w:bookmarkEnd w:id="353"/>
    <w:bookmarkEnd w:id="354"/>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鉴于你方作为承包人已经与（发包人名称）（以下称“发包人”）于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日签订了（工程名称）《建设工程施工合同》（以下称“主合同”），应发包人的申请，我方愿就发包人履行主合同约定的工程款支付义务以保证的方式向你方提供如下担保：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一、保证的范围及保证金额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1.我方的保证范围是主合同约定的工程款。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2.本保函所称主合同约定的工程款是指主合同约定的除工程质量保证金以外的合同价款。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3.我方保证的金额是主合同约定的工程款的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%，数额最高不超过人民币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二、保证的方式及保证期间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1.我方保证的方式为：连带责任保证。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2.我方保证的期间为：自本合同生效之日起至主合同约定的工程款支付完毕之日后日内。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三、承担保证责任的形式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3.我方收到你方的书面索赔通知及相应的证明材料后７天内无条件支付。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五、保证责任的解除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5.我方解除保证责任后，你方应自我方保证责任解除之日起个工作日内，将本保函原件</w:t>
      </w:r>
      <w:r>
        <w:rPr>
          <w:rFonts w:hint="eastAsia" w:ascii="宋体" w:hAnsi="宋体" w:eastAsia="宋体" w:cs="宋体"/>
          <w:color w:val="auto"/>
          <w:szCs w:val="21"/>
          <w:highlight w:val="none"/>
          <w:lang w:eastAsia="zh-CN"/>
        </w:rPr>
        <w:t>退还</w:t>
      </w:r>
      <w:r>
        <w:rPr>
          <w:rFonts w:hint="eastAsia" w:ascii="宋体" w:hAnsi="宋体" w:eastAsia="宋体" w:cs="宋体"/>
          <w:color w:val="auto"/>
          <w:szCs w:val="21"/>
          <w:highlight w:val="none"/>
        </w:rPr>
        <w:t>我方。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1.因你方违约致使发包人不能履行义务的，我方不承担保证责任。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4.因不可抗力造成发包人不能履行义务的，我方不承担保证责任。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七、争议解决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种方式解决：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仲裁委员会申请仲裁；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八、保函的生效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代理人）签字并加盖公章之日起生效。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60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担保人：（盖章）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20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pStyle w:val="83"/>
        <w:rPr>
          <w:rFonts w:hint="eastAsia"/>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jc w:val="both"/>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jc w:val="both"/>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11-1：材料暂估价表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11-2：工程设备暂估价表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double" w:color="auto" w:sz="6" w:space="0"/>
              <w:bottom w:val="sing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nil"/>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Style w:val="24"/>
        <w:rPr>
          <w:rFonts w:hint="eastAsia"/>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11-3：专业工程暂估价表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24"/>
              <w:keepNext/>
              <w:keepLines w:val="0"/>
              <w:pageBreakBefore w:val="0"/>
              <w:suppressLineNumbers w:val="0"/>
              <w:tabs>
                <w:tab w:val="left" w:pos="567"/>
              </w:tabs>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36"/>
          <w:highlight w:val="none"/>
        </w:rPr>
      </w:pPr>
    </w:p>
    <w:p>
      <w:pPr>
        <w:pStyle w:val="3"/>
        <w:pageBreakBefore w:val="0"/>
        <w:numPr>
          <w:ilvl w:val="0"/>
          <w:numId w:val="0"/>
        </w:numPr>
        <w:kinsoku/>
        <w:wordWrap/>
        <w:overflowPunct/>
        <w:topLinePunct w:val="0"/>
        <w:bidi w:val="0"/>
        <w:spacing w:before="135" w:beforeLines="50" w:after="135" w:afterLines="50" w:line="240" w:lineRule="auto"/>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pStyle w:val="24"/>
        <w:rPr>
          <w:rFonts w:hint="eastAsia" w:ascii="宋体" w:hAnsi="宋体" w:eastAsia="宋体" w:cs="宋体"/>
          <w:b/>
          <w:color w:val="auto"/>
          <w:sz w:val="36"/>
          <w:szCs w:val="36"/>
          <w:highlight w:val="none"/>
        </w:rPr>
      </w:pPr>
    </w:p>
    <w:p>
      <w:pPr>
        <w:snapToGrid w:val="0"/>
        <w:spacing w:line="480" w:lineRule="auto"/>
        <w:rPr>
          <w:rFonts w:ascii="宋体" w:cs="宋体"/>
          <w:highlight w:val="none"/>
        </w:rPr>
      </w:pPr>
    </w:p>
    <w:p>
      <w:pPr>
        <w:pStyle w:val="29"/>
        <w:widowControl w:val="0"/>
        <w:numPr>
          <w:ilvl w:val="0"/>
          <w:numId w:val="0"/>
        </w:numPr>
        <w:jc w:val="both"/>
        <w:rPr>
          <w:rFonts w:ascii="宋体" w:cs="宋体"/>
          <w:highlight w:val="none"/>
        </w:rPr>
      </w:pPr>
    </w:p>
    <w:p>
      <w:pPr>
        <w:pStyle w:val="29"/>
        <w:widowControl w:val="0"/>
        <w:numPr>
          <w:ilvl w:val="0"/>
          <w:numId w:val="0"/>
        </w:numPr>
        <w:jc w:val="both"/>
        <w:rPr>
          <w:rFonts w:ascii="宋体" w:cs="宋体"/>
          <w:highlight w:val="none"/>
        </w:rPr>
      </w:pPr>
    </w:p>
    <w:p>
      <w:pPr>
        <w:pStyle w:val="3"/>
        <w:spacing w:before="62" w:beforeLines="20" w:after="62" w:afterLines="20" w:line="480" w:lineRule="exact"/>
        <w:ind w:firstLine="0" w:firstLineChars="0"/>
        <w:jc w:val="center"/>
        <w:rPr>
          <w:rFonts w:ascii="Arial" w:hAnsi="Arial"/>
          <w:kern w:val="2"/>
          <w:sz w:val="36"/>
          <w:szCs w:val="36"/>
          <w:highlight w:val="none"/>
        </w:rPr>
      </w:pPr>
      <w:bookmarkStart w:id="355" w:name="_Toc8981"/>
      <w:bookmarkStart w:id="356" w:name="_Toc54941341"/>
      <w:bookmarkStart w:id="357" w:name="_Toc27878"/>
      <w:bookmarkStart w:id="358" w:name="_Toc439316880"/>
      <w:r>
        <w:rPr>
          <w:rFonts w:hint="eastAsia" w:ascii="Arial" w:hAnsi="Arial"/>
          <w:kern w:val="2"/>
          <w:sz w:val="32"/>
          <w:szCs w:val="32"/>
          <w:highlight w:val="none"/>
          <w:lang w:val="zh-CN" w:eastAsia="zh-CN"/>
        </w:rPr>
        <w:t>第</w:t>
      </w:r>
      <w:r>
        <w:rPr>
          <w:rFonts w:hint="eastAsia" w:ascii="Arial" w:hAnsi="Arial"/>
          <w:kern w:val="2"/>
          <w:sz w:val="32"/>
          <w:szCs w:val="32"/>
          <w:highlight w:val="none"/>
          <w:lang w:val="en-US" w:eastAsia="zh-CN"/>
        </w:rPr>
        <w:t>四</w:t>
      </w:r>
      <w:r>
        <w:rPr>
          <w:rFonts w:hint="eastAsia" w:ascii="Arial" w:hAnsi="Arial"/>
          <w:kern w:val="2"/>
          <w:sz w:val="32"/>
          <w:szCs w:val="32"/>
          <w:highlight w:val="none"/>
          <w:lang w:val="zh-CN" w:eastAsia="zh-CN"/>
        </w:rPr>
        <w:t xml:space="preserve">章  </w:t>
      </w:r>
      <w:bookmarkStart w:id="359" w:name="_Toc417656001"/>
      <w:r>
        <w:rPr>
          <w:rFonts w:hint="eastAsia" w:ascii="Arial" w:hAnsi="Arial"/>
          <w:kern w:val="2"/>
          <w:sz w:val="32"/>
          <w:szCs w:val="32"/>
          <w:highlight w:val="none"/>
          <w:lang w:val="en-US" w:eastAsia="zh-CN"/>
        </w:rPr>
        <w:t>响应文件格式</w:t>
      </w:r>
      <w:bookmarkEnd w:id="355"/>
      <w:bookmarkEnd w:id="356"/>
      <w:bookmarkEnd w:id="357"/>
      <w:bookmarkEnd w:id="358"/>
      <w:bookmarkEnd w:id="359"/>
    </w:p>
    <w:p>
      <w:pPr>
        <w:spacing w:line="360" w:lineRule="auto"/>
        <w:jc w:val="center"/>
        <w:rPr>
          <w:rFonts w:ascii="仿宋" w:hAnsi="仿宋" w:eastAsia="仿宋"/>
          <w:b/>
          <w:spacing w:val="20"/>
          <w:sz w:val="36"/>
          <w:szCs w:val="36"/>
          <w:highlight w:val="none"/>
          <w:u w:val="single"/>
        </w:rPr>
      </w:pPr>
    </w:p>
    <w:p>
      <w:pPr>
        <w:spacing w:line="360" w:lineRule="auto"/>
        <w:jc w:val="center"/>
        <w:rPr>
          <w:rFonts w:ascii="仿宋" w:hAnsi="仿宋" w:eastAsia="仿宋"/>
          <w:b/>
          <w:spacing w:val="20"/>
          <w:sz w:val="36"/>
          <w:szCs w:val="36"/>
          <w:highlight w:val="none"/>
        </w:rPr>
      </w:pPr>
      <w:r>
        <w:rPr>
          <w:rFonts w:ascii="仿宋" w:hAnsi="仿宋" w:eastAsia="仿宋"/>
          <w:b/>
          <w:spacing w:val="20"/>
          <w:sz w:val="36"/>
          <w:szCs w:val="36"/>
          <w:highlight w:val="none"/>
          <w:u w:val="single"/>
        </w:rPr>
        <w:t xml:space="preserve">                              </w:t>
      </w:r>
      <w:r>
        <w:rPr>
          <w:rFonts w:hint="eastAsia" w:ascii="仿宋" w:hAnsi="仿宋" w:eastAsia="仿宋"/>
          <w:b/>
          <w:spacing w:val="20"/>
          <w:sz w:val="36"/>
          <w:szCs w:val="36"/>
          <w:highlight w:val="none"/>
        </w:rPr>
        <w:t>项目</w:t>
      </w:r>
    </w:p>
    <w:p>
      <w:pPr>
        <w:spacing w:line="480" w:lineRule="auto"/>
        <w:jc w:val="center"/>
        <w:rPr>
          <w:rFonts w:ascii="宋体" w:hAnsi="宋体"/>
          <w:b/>
          <w:sz w:val="72"/>
          <w:szCs w:val="72"/>
          <w:highlight w:val="none"/>
        </w:rPr>
      </w:pPr>
      <w:r>
        <w:rPr>
          <w:rFonts w:hint="eastAsia" w:ascii="宋体" w:hAnsi="宋体"/>
          <w:b/>
          <w:sz w:val="72"/>
          <w:szCs w:val="72"/>
          <w:highlight w:val="none"/>
        </w:rPr>
        <w:t>响</w:t>
      </w:r>
    </w:p>
    <w:p>
      <w:pPr>
        <w:spacing w:line="480" w:lineRule="auto"/>
        <w:jc w:val="center"/>
        <w:rPr>
          <w:rFonts w:ascii="宋体"/>
          <w:b/>
          <w:sz w:val="72"/>
          <w:szCs w:val="72"/>
          <w:highlight w:val="none"/>
        </w:rPr>
      </w:pPr>
    </w:p>
    <w:p>
      <w:pPr>
        <w:spacing w:line="480" w:lineRule="auto"/>
        <w:jc w:val="center"/>
        <w:rPr>
          <w:rFonts w:ascii="宋体" w:hAnsi="宋体"/>
          <w:b/>
          <w:sz w:val="72"/>
          <w:szCs w:val="72"/>
          <w:highlight w:val="none"/>
        </w:rPr>
      </w:pPr>
      <w:r>
        <w:rPr>
          <w:rFonts w:hint="eastAsia" w:ascii="宋体" w:hAnsi="宋体"/>
          <w:b/>
          <w:sz w:val="72"/>
          <w:szCs w:val="72"/>
          <w:highlight w:val="none"/>
        </w:rPr>
        <w:t>应</w:t>
      </w:r>
    </w:p>
    <w:p>
      <w:pPr>
        <w:spacing w:line="480" w:lineRule="auto"/>
        <w:jc w:val="center"/>
        <w:rPr>
          <w:rFonts w:ascii="宋体"/>
          <w:b/>
          <w:sz w:val="72"/>
          <w:szCs w:val="72"/>
          <w:highlight w:val="none"/>
        </w:rPr>
      </w:pPr>
    </w:p>
    <w:p>
      <w:pPr>
        <w:spacing w:line="480" w:lineRule="auto"/>
        <w:jc w:val="center"/>
        <w:rPr>
          <w:rFonts w:ascii="宋体" w:hAnsi="宋体"/>
          <w:b/>
          <w:sz w:val="72"/>
          <w:szCs w:val="72"/>
          <w:highlight w:val="none"/>
        </w:rPr>
      </w:pPr>
      <w:r>
        <w:rPr>
          <w:rFonts w:hint="eastAsia" w:ascii="宋体" w:hAnsi="宋体"/>
          <w:b/>
          <w:sz w:val="72"/>
          <w:szCs w:val="72"/>
          <w:highlight w:val="none"/>
        </w:rPr>
        <w:t>文</w:t>
      </w:r>
    </w:p>
    <w:p>
      <w:pPr>
        <w:spacing w:line="480" w:lineRule="auto"/>
        <w:jc w:val="center"/>
        <w:rPr>
          <w:rFonts w:ascii="宋体"/>
          <w:b/>
          <w:sz w:val="72"/>
          <w:szCs w:val="72"/>
          <w:highlight w:val="none"/>
        </w:rPr>
      </w:pPr>
    </w:p>
    <w:p>
      <w:pPr>
        <w:spacing w:line="480" w:lineRule="auto"/>
        <w:jc w:val="center"/>
        <w:rPr>
          <w:rFonts w:ascii="宋体"/>
          <w:b/>
          <w:sz w:val="72"/>
          <w:szCs w:val="72"/>
          <w:highlight w:val="none"/>
        </w:rPr>
      </w:pPr>
      <w:r>
        <w:rPr>
          <w:rFonts w:hint="eastAsia" w:ascii="宋体" w:hAnsi="宋体"/>
          <w:b/>
          <w:sz w:val="72"/>
          <w:szCs w:val="72"/>
          <w:highlight w:val="none"/>
        </w:rPr>
        <w:t>件</w:t>
      </w:r>
    </w:p>
    <w:p>
      <w:pPr>
        <w:spacing w:line="360" w:lineRule="auto"/>
        <w:rPr>
          <w:rFonts w:ascii="宋体"/>
          <w:sz w:val="24"/>
          <w:highlight w:val="none"/>
        </w:rPr>
      </w:pPr>
    </w:p>
    <w:p>
      <w:pPr>
        <w:spacing w:line="360" w:lineRule="auto"/>
        <w:rPr>
          <w:rFonts w:ascii="宋体"/>
          <w:sz w:val="24"/>
          <w:highlight w:val="none"/>
        </w:rPr>
      </w:pPr>
    </w:p>
    <w:p>
      <w:pPr>
        <w:spacing w:line="360" w:lineRule="auto"/>
        <w:rPr>
          <w:rFonts w:ascii="宋体"/>
          <w:sz w:val="24"/>
          <w:highlight w:val="none"/>
        </w:rPr>
      </w:pPr>
    </w:p>
    <w:p>
      <w:pPr>
        <w:spacing w:line="360" w:lineRule="auto"/>
        <w:ind w:firstLine="148" w:firstLineChars="49"/>
        <w:rPr>
          <w:rFonts w:ascii="宋体"/>
          <w:b/>
          <w:sz w:val="30"/>
          <w:szCs w:val="30"/>
          <w:highlight w:val="none"/>
        </w:rPr>
      </w:pPr>
      <w:r>
        <w:rPr>
          <w:rFonts w:hint="eastAsia" w:ascii="宋体" w:hAnsi="宋体"/>
          <w:b/>
          <w:sz w:val="30"/>
          <w:szCs w:val="30"/>
          <w:highlight w:val="none"/>
        </w:rPr>
        <w:t>采购人名称：</w:t>
      </w:r>
      <w:r>
        <w:rPr>
          <w:rFonts w:ascii="宋体" w:hAnsi="宋体"/>
          <w:b/>
          <w:sz w:val="30"/>
          <w:szCs w:val="30"/>
          <w:highlight w:val="none"/>
        </w:rPr>
        <w:t xml:space="preserve"> </w:t>
      </w:r>
      <w:r>
        <w:rPr>
          <w:rFonts w:ascii="宋体" w:hAnsi="宋体"/>
          <w:b/>
          <w:sz w:val="30"/>
          <w:szCs w:val="30"/>
          <w:highlight w:val="none"/>
          <w:u w:val="single"/>
        </w:rPr>
        <w:t xml:space="preserve">                                             </w:t>
      </w:r>
    </w:p>
    <w:p>
      <w:pPr>
        <w:spacing w:line="360" w:lineRule="auto"/>
        <w:ind w:firstLine="148" w:firstLineChars="49"/>
        <w:rPr>
          <w:rFonts w:ascii="宋体"/>
          <w:b/>
          <w:sz w:val="30"/>
          <w:szCs w:val="30"/>
          <w:highlight w:val="none"/>
        </w:rPr>
      </w:pPr>
      <w:r>
        <w:rPr>
          <w:rFonts w:hint="eastAsia" w:ascii="宋体" w:hAnsi="宋体"/>
          <w:b/>
          <w:sz w:val="30"/>
          <w:szCs w:val="30"/>
          <w:highlight w:val="none"/>
        </w:rPr>
        <w:t>供应商名称：</w:t>
      </w:r>
      <w:r>
        <w:rPr>
          <w:rFonts w:ascii="宋体" w:hAnsi="宋体"/>
          <w:b/>
          <w:sz w:val="30"/>
          <w:szCs w:val="30"/>
          <w:highlight w:val="non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（盖章）</w:t>
      </w:r>
      <w:r>
        <w:rPr>
          <w:rFonts w:ascii="宋体" w:hAnsi="宋体"/>
          <w:b/>
          <w:sz w:val="30"/>
          <w:szCs w:val="30"/>
          <w:highlight w:val="none"/>
          <w:u w:val="single"/>
        </w:rPr>
        <w:t xml:space="preserve"> </w:t>
      </w:r>
    </w:p>
    <w:p>
      <w:pPr>
        <w:spacing w:line="360" w:lineRule="auto"/>
        <w:ind w:firstLine="148" w:firstLineChars="49"/>
        <w:rPr>
          <w:rFonts w:ascii="宋体"/>
          <w:b/>
          <w:sz w:val="30"/>
          <w:szCs w:val="30"/>
          <w:highlight w:val="none"/>
        </w:rPr>
      </w:pPr>
      <w:r>
        <w:rPr>
          <w:rFonts w:hint="eastAsia" w:ascii="宋体" w:hAnsi="宋体"/>
          <w:b/>
          <w:sz w:val="30"/>
          <w:szCs w:val="30"/>
          <w:highlight w:val="none"/>
        </w:rPr>
        <w:t>法定代表人：</w:t>
      </w:r>
      <w:r>
        <w:rPr>
          <w:rFonts w:ascii="宋体" w:hAnsi="宋体"/>
          <w:b/>
          <w:sz w:val="30"/>
          <w:szCs w:val="30"/>
          <w:highlight w:val="none"/>
          <w:u w:val="single"/>
        </w:rPr>
        <w:t xml:space="preserve">                 </w:t>
      </w:r>
      <w:r>
        <w:rPr>
          <w:rFonts w:hint="eastAsia" w:ascii="宋体" w:hAnsi="宋体"/>
          <w:b/>
          <w:sz w:val="30"/>
          <w:szCs w:val="30"/>
          <w:highlight w:val="none"/>
          <w:u w:val="singl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 xml:space="preserve"> </w:t>
      </w:r>
      <w:r>
        <w:rPr>
          <w:rFonts w:ascii="宋体" w:hAnsi="宋体"/>
          <w:b/>
          <w:sz w:val="30"/>
          <w:szCs w:val="30"/>
          <w:highlight w:val="none"/>
          <w:u w:val="single"/>
        </w:rPr>
        <w:t>(</w:t>
      </w:r>
      <w:r>
        <w:rPr>
          <w:rFonts w:hint="eastAsia" w:ascii="宋体" w:hAnsi="宋体"/>
          <w:b/>
          <w:sz w:val="30"/>
          <w:szCs w:val="30"/>
          <w:highlight w:val="none"/>
          <w:u w:val="single"/>
        </w:rPr>
        <w:t>盖章</w:t>
      </w:r>
      <w:r>
        <w:rPr>
          <w:rFonts w:ascii="宋体" w:hAnsi="宋体"/>
          <w:b/>
          <w:sz w:val="30"/>
          <w:szCs w:val="30"/>
          <w:highlight w:val="none"/>
          <w:u w:val="single"/>
        </w:rPr>
        <w:t xml:space="preserve">)  </w:t>
      </w:r>
    </w:p>
    <w:p>
      <w:pPr>
        <w:spacing w:line="360" w:lineRule="auto"/>
        <w:rPr>
          <w:rFonts w:ascii="仿宋_GB2312" w:eastAsia="仿宋_GB2312"/>
          <w:sz w:val="30"/>
          <w:szCs w:val="30"/>
          <w:highlight w:val="none"/>
        </w:rPr>
      </w:pPr>
    </w:p>
    <w:p>
      <w:pPr>
        <w:spacing w:line="480" w:lineRule="exact"/>
        <w:jc w:val="center"/>
        <w:rPr>
          <w:rFonts w:ascii="宋体" w:hAnsi="宋体"/>
          <w:b/>
          <w:sz w:val="30"/>
          <w:szCs w:val="30"/>
          <w:highlight w:val="none"/>
        </w:rPr>
      </w:pPr>
      <w:r>
        <w:rPr>
          <w:rFonts w:hint="eastAsia" w:ascii="宋体" w:hAnsi="宋体"/>
          <w:b/>
          <w:sz w:val="30"/>
          <w:szCs w:val="30"/>
          <w:highlight w:val="none"/>
        </w:rPr>
        <w:t>日期：</w:t>
      </w:r>
      <w:r>
        <w:rPr>
          <w:rFonts w:ascii="宋体" w:hAnsi="宋体"/>
          <w:b/>
          <w:sz w:val="30"/>
          <w:szCs w:val="30"/>
          <w:highlight w:val="none"/>
          <w:u w:val="single"/>
        </w:rPr>
        <w:t xml:space="preserve">    </w:t>
      </w:r>
      <w:r>
        <w:rPr>
          <w:rFonts w:hint="eastAsia" w:ascii="宋体" w:hAnsi="宋体"/>
          <w:b/>
          <w:sz w:val="30"/>
          <w:szCs w:val="30"/>
          <w:highlight w:val="none"/>
        </w:rPr>
        <w:t>年</w:t>
      </w:r>
      <w:r>
        <w:rPr>
          <w:rFonts w:ascii="宋体" w:hAnsi="宋体"/>
          <w:b/>
          <w:sz w:val="30"/>
          <w:szCs w:val="30"/>
          <w:highlight w:val="none"/>
          <w:u w:val="single"/>
        </w:rPr>
        <w:t xml:space="preserve">     </w:t>
      </w:r>
      <w:r>
        <w:rPr>
          <w:rFonts w:hint="eastAsia" w:ascii="宋体" w:hAnsi="宋体"/>
          <w:b/>
          <w:sz w:val="30"/>
          <w:szCs w:val="30"/>
          <w:highlight w:val="none"/>
        </w:rPr>
        <w:t>月</w:t>
      </w:r>
      <w:r>
        <w:rPr>
          <w:rFonts w:ascii="宋体" w:hAnsi="宋体"/>
          <w:b/>
          <w:sz w:val="30"/>
          <w:szCs w:val="30"/>
          <w:highlight w:val="none"/>
          <w:u w:val="single"/>
        </w:rPr>
        <w:t xml:space="preserve">    </w:t>
      </w:r>
      <w:r>
        <w:rPr>
          <w:rFonts w:hint="eastAsia" w:ascii="宋体" w:hAnsi="宋体"/>
          <w:b/>
          <w:sz w:val="30"/>
          <w:szCs w:val="30"/>
          <w:highlight w:val="none"/>
        </w:rPr>
        <w:t>日</w:t>
      </w:r>
    </w:p>
    <w:p>
      <w:pPr>
        <w:spacing w:line="480" w:lineRule="exact"/>
        <w:jc w:val="center"/>
        <w:rPr>
          <w:rFonts w:ascii="宋体" w:hAnsi="宋体"/>
          <w:b/>
          <w:sz w:val="30"/>
          <w:szCs w:val="30"/>
          <w:highlight w:val="none"/>
        </w:rPr>
      </w:pPr>
    </w:p>
    <w:p>
      <w:pPr>
        <w:spacing w:line="480" w:lineRule="exact"/>
        <w:rPr>
          <w:rFonts w:ascii="黑体" w:eastAsia="黑体"/>
          <w:b/>
          <w:bCs/>
          <w:szCs w:val="21"/>
          <w:highlight w:val="none"/>
        </w:rPr>
      </w:pPr>
    </w:p>
    <w:p>
      <w:pPr>
        <w:pStyle w:val="5"/>
        <w:jc w:val="center"/>
        <w:rPr>
          <w:rFonts w:cs="宋体"/>
          <w:sz w:val="28"/>
          <w:szCs w:val="28"/>
          <w:highlight w:val="none"/>
        </w:rPr>
      </w:pPr>
      <w:bookmarkStart w:id="360" w:name="_Toc54941342"/>
      <w:bookmarkStart w:id="361" w:name="_Toc476584433"/>
      <w:r>
        <w:rPr>
          <w:rFonts w:hint="eastAsia" w:cs="宋体"/>
          <w:sz w:val="28"/>
          <w:szCs w:val="28"/>
          <w:highlight w:val="none"/>
        </w:rPr>
        <w:t>一、磋商响应函</w:t>
      </w:r>
      <w:bookmarkEnd w:id="360"/>
      <w:bookmarkEnd w:id="361"/>
    </w:p>
    <w:p>
      <w:pPr>
        <w:tabs>
          <w:tab w:val="left" w:pos="5580"/>
        </w:tabs>
        <w:spacing w:before="120" w:line="480" w:lineRule="auto"/>
        <w:rPr>
          <w:rFonts w:ascii="宋体" w:cs="宋体"/>
          <w:szCs w:val="21"/>
          <w:highlight w:val="none"/>
        </w:rPr>
      </w:pPr>
      <w:r>
        <w:rPr>
          <w:rFonts w:hint="eastAsia" w:ascii="宋体" w:hAnsi="宋体" w:cs="宋体"/>
          <w:szCs w:val="21"/>
          <w:highlight w:val="none"/>
        </w:rPr>
        <w:t>致：</w:t>
      </w:r>
      <w:r>
        <w:rPr>
          <w:rFonts w:ascii="宋体" w:hAnsi="宋体" w:cs="宋体"/>
          <w:szCs w:val="21"/>
          <w:highlight w:val="none"/>
          <w:u w:val="single"/>
        </w:rPr>
        <w:t xml:space="preserve">                        </w:t>
      </w:r>
      <w:r>
        <w:rPr>
          <w:rFonts w:hint="eastAsia" w:ascii="宋体" w:hAnsi="宋体" w:cs="宋体"/>
          <w:szCs w:val="21"/>
          <w:highlight w:val="none"/>
        </w:rPr>
        <w:t>（采购人名称）</w:t>
      </w:r>
    </w:p>
    <w:p>
      <w:pPr>
        <w:pStyle w:val="33"/>
        <w:tabs>
          <w:tab w:val="left" w:pos="5580"/>
        </w:tabs>
        <w:spacing w:line="480" w:lineRule="auto"/>
        <w:ind w:firstLine="420" w:firstLineChars="200"/>
        <w:rPr>
          <w:rFonts w:hAnsi="宋体" w:cs="宋体"/>
          <w:highlight w:val="none"/>
        </w:rPr>
      </w:pPr>
      <w:r>
        <w:rPr>
          <w:rFonts w:hAnsi="宋体" w:cs="宋体"/>
          <w:highlight w:val="none"/>
        </w:rPr>
        <w:t>1</w:t>
      </w:r>
      <w:r>
        <w:rPr>
          <w:rFonts w:hint="eastAsia" w:hAnsi="宋体" w:cs="宋体"/>
          <w:highlight w:val="none"/>
        </w:rPr>
        <w:t>、根据贵方</w:t>
      </w:r>
      <w:r>
        <w:rPr>
          <w:rFonts w:hAnsi="宋体" w:cs="宋体"/>
          <w:highlight w:val="none"/>
          <w:u w:val="single"/>
        </w:rPr>
        <w:t xml:space="preserve">          </w:t>
      </w:r>
      <w:r>
        <w:rPr>
          <w:rFonts w:hint="eastAsia" w:hAnsi="宋体" w:cs="宋体"/>
          <w:highlight w:val="none"/>
        </w:rPr>
        <w:t>号磋商公告，我方决定参加贵方组织的</w:t>
      </w:r>
      <w:r>
        <w:rPr>
          <w:rFonts w:hAnsi="宋体" w:cs="宋体"/>
          <w:highlight w:val="none"/>
          <w:u w:val="single"/>
        </w:rPr>
        <w:t xml:space="preserve">                       </w:t>
      </w:r>
      <w:r>
        <w:rPr>
          <w:rFonts w:hint="eastAsia" w:hAnsi="宋体" w:cs="宋体"/>
          <w:highlight w:val="none"/>
        </w:rPr>
        <w:t>项目的磋商活动。我方授权</w:t>
      </w:r>
      <w:r>
        <w:rPr>
          <w:rFonts w:hAnsi="宋体" w:cs="宋体"/>
          <w:highlight w:val="none"/>
          <w:u w:val="single"/>
        </w:rPr>
        <w:t xml:space="preserve">        </w:t>
      </w:r>
      <w:r>
        <w:rPr>
          <w:rFonts w:hAnsi="宋体" w:cs="宋体"/>
          <w:highlight w:val="none"/>
        </w:rPr>
        <w:t>(</w:t>
      </w:r>
      <w:r>
        <w:rPr>
          <w:rFonts w:hint="eastAsia" w:hAnsi="宋体" w:cs="宋体"/>
          <w:highlight w:val="none"/>
        </w:rPr>
        <w:t>姓名和职务</w:t>
      </w:r>
      <w:r>
        <w:rPr>
          <w:rFonts w:hAnsi="宋体" w:cs="宋体"/>
          <w:highlight w:val="none"/>
        </w:rPr>
        <w:t>)</w:t>
      </w:r>
      <w:r>
        <w:rPr>
          <w:rFonts w:hint="eastAsia" w:hAnsi="宋体" w:cs="宋体"/>
          <w:highlight w:val="none"/>
        </w:rPr>
        <w:t>代表我方</w:t>
      </w:r>
      <w:r>
        <w:rPr>
          <w:rFonts w:hAnsi="宋体" w:cs="宋体"/>
          <w:highlight w:val="none"/>
          <w:u w:val="single"/>
        </w:rPr>
        <w:t xml:space="preserve">                    </w:t>
      </w:r>
      <w:r>
        <w:rPr>
          <w:rFonts w:hint="eastAsia" w:hAnsi="宋体" w:cs="宋体"/>
          <w:highlight w:val="none"/>
        </w:rPr>
        <w:t>（供应商的名称）全权处理本项目响应的有关事宜。</w:t>
      </w:r>
    </w:p>
    <w:p>
      <w:pPr>
        <w:pStyle w:val="33"/>
        <w:tabs>
          <w:tab w:val="left" w:pos="5580"/>
        </w:tabs>
        <w:spacing w:line="480" w:lineRule="auto"/>
        <w:ind w:firstLine="420" w:firstLineChars="200"/>
        <w:rPr>
          <w:rFonts w:hAnsi="宋体" w:cs="宋体"/>
          <w:highlight w:val="none"/>
        </w:rPr>
      </w:pPr>
      <w:r>
        <w:rPr>
          <w:rFonts w:hAnsi="宋体" w:cs="宋体"/>
          <w:highlight w:val="none"/>
        </w:rPr>
        <w:t>2</w:t>
      </w:r>
      <w:r>
        <w:rPr>
          <w:rFonts w:hint="eastAsia" w:hAnsi="宋体" w:cs="宋体"/>
          <w:highlight w:val="none"/>
        </w:rPr>
        <w:t>、我方愿意按照磋商文件约定的各项要求，向采购人提供所需的</w:t>
      </w:r>
      <w:r>
        <w:rPr>
          <w:rFonts w:hint="eastAsia" w:hAnsi="宋体" w:cs="宋体"/>
          <w:color w:val="auto"/>
          <w:highlight w:val="none"/>
        </w:rPr>
        <w:t>货物</w:t>
      </w:r>
      <w:r>
        <w:rPr>
          <w:rFonts w:hint="eastAsia" w:hAnsi="宋体" w:cs="宋体"/>
          <w:highlight w:val="none"/>
        </w:rPr>
        <w:t>与服务，磋商报价为人民币（大写）</w:t>
      </w:r>
      <w:r>
        <w:rPr>
          <w:rFonts w:hAnsi="宋体" w:cs="宋体"/>
          <w:highlight w:val="none"/>
          <w:u w:val="single"/>
        </w:rPr>
        <w:t xml:space="preserve">                    </w:t>
      </w:r>
      <w:r>
        <w:rPr>
          <w:rFonts w:hint="eastAsia" w:hAnsi="宋体" w:cs="宋体"/>
          <w:highlight w:val="none"/>
          <w:u w:val="single"/>
        </w:rPr>
        <w:t>；</w:t>
      </w:r>
      <w:r>
        <w:rPr>
          <w:rFonts w:hAnsi="宋体" w:cs="宋体"/>
          <w:highlight w:val="none"/>
        </w:rPr>
        <w:t>(</w:t>
      </w:r>
      <w:r>
        <w:rPr>
          <w:rFonts w:hint="eastAsia" w:hAnsi="宋体" w:cs="宋体"/>
          <w:highlight w:val="none"/>
        </w:rPr>
        <w:t>小写</w:t>
      </w:r>
      <w:r>
        <w:rPr>
          <w:rFonts w:hAnsi="宋体" w:cs="宋体"/>
          <w:highlight w:val="none"/>
        </w:rPr>
        <w:t>)</w:t>
      </w:r>
      <w:r>
        <w:rPr>
          <w:rFonts w:hAnsi="宋体" w:cs="宋体"/>
          <w:highlight w:val="none"/>
          <w:u w:val="single"/>
        </w:rPr>
        <w:t xml:space="preserve">                  </w:t>
      </w:r>
      <w:r>
        <w:rPr>
          <w:rFonts w:hint="eastAsia" w:hAnsi="宋体" w:cs="宋体"/>
          <w:highlight w:val="none"/>
        </w:rPr>
        <w:t>。</w:t>
      </w:r>
    </w:p>
    <w:p>
      <w:pPr>
        <w:pStyle w:val="33"/>
        <w:tabs>
          <w:tab w:val="left" w:pos="5580"/>
        </w:tabs>
        <w:spacing w:line="480" w:lineRule="auto"/>
        <w:ind w:firstLine="417" w:firstLineChars="199"/>
        <w:rPr>
          <w:rFonts w:hAnsi="宋体" w:cs="宋体"/>
          <w:highlight w:val="none"/>
        </w:rPr>
      </w:pPr>
      <w:r>
        <w:rPr>
          <w:rFonts w:hAnsi="宋体" w:cs="宋体"/>
          <w:highlight w:val="none"/>
        </w:rPr>
        <w:t>3</w:t>
      </w:r>
      <w:r>
        <w:rPr>
          <w:rFonts w:hint="eastAsia" w:hAnsi="宋体" w:cs="宋体"/>
          <w:highlight w:val="none"/>
        </w:rPr>
        <w:t>、一旦我方成交，我方将严格履行合同约定的责任和义务，保证合同签订之日起</w:t>
      </w:r>
      <w:r>
        <w:rPr>
          <w:rFonts w:hAnsi="宋体" w:cs="宋体"/>
          <w:highlight w:val="none"/>
          <w:u w:val="single"/>
        </w:rPr>
        <w:t xml:space="preserve">    </w:t>
      </w:r>
      <w:r>
        <w:rPr>
          <w:rFonts w:hint="eastAsia" w:hAnsi="宋体" w:cs="宋体"/>
          <w:highlight w:val="none"/>
        </w:rPr>
        <w:t>个日历天完成。</w:t>
      </w:r>
    </w:p>
    <w:p>
      <w:pPr>
        <w:pStyle w:val="33"/>
        <w:tabs>
          <w:tab w:val="left" w:pos="5580"/>
        </w:tabs>
        <w:spacing w:line="480" w:lineRule="auto"/>
        <w:ind w:firstLine="394" w:firstLineChars="199"/>
        <w:rPr>
          <w:rFonts w:hAnsi="宋体" w:cs="宋体"/>
          <w:highlight w:val="none"/>
        </w:rPr>
      </w:pPr>
      <w:r>
        <w:rPr>
          <w:rFonts w:hAnsi="宋体" w:cs="宋体"/>
          <w:spacing w:val="-6"/>
          <w:highlight w:val="none"/>
        </w:rPr>
        <w:t>4</w:t>
      </w:r>
      <w:r>
        <w:rPr>
          <w:rFonts w:hint="eastAsia" w:hAnsi="宋体" w:cs="宋体"/>
          <w:spacing w:val="-6"/>
          <w:highlight w:val="none"/>
        </w:rPr>
        <w:t>、我方同意按照磋商文件的要求，向贵方递交金额为人民币（大写）</w:t>
      </w:r>
      <w:r>
        <w:rPr>
          <w:rFonts w:hAnsi="宋体" w:cs="宋体"/>
          <w:highlight w:val="none"/>
          <w:u w:val="single"/>
        </w:rPr>
        <w:t xml:space="preserve"> </w:t>
      </w:r>
      <w:r>
        <w:rPr>
          <w:rFonts w:hint="eastAsia" w:hAnsi="宋体" w:cs="宋体"/>
          <w:highlight w:val="none"/>
          <w:u w:val="single"/>
        </w:rPr>
        <w:t>零元</w:t>
      </w:r>
      <w:r>
        <w:rPr>
          <w:rFonts w:hAnsi="宋体" w:cs="宋体"/>
          <w:highlight w:val="none"/>
          <w:u w:val="single"/>
        </w:rPr>
        <w:t xml:space="preserve">      </w:t>
      </w:r>
      <w:r>
        <w:rPr>
          <w:rFonts w:hAnsi="宋体" w:cs="宋体"/>
          <w:highlight w:val="none"/>
        </w:rPr>
        <w:t xml:space="preserve"> </w:t>
      </w:r>
      <w:r>
        <w:rPr>
          <w:rFonts w:hint="eastAsia" w:hAnsi="宋体" w:cs="宋体"/>
          <w:highlight w:val="none"/>
        </w:rPr>
        <w:t>的磋商保证金。并且承诺遵守磋商文件中有关磋商保证金的约定。</w:t>
      </w:r>
    </w:p>
    <w:p>
      <w:pPr>
        <w:pStyle w:val="33"/>
        <w:tabs>
          <w:tab w:val="left" w:pos="5580"/>
        </w:tabs>
        <w:spacing w:line="360" w:lineRule="auto"/>
        <w:ind w:firstLine="394" w:firstLineChars="199"/>
        <w:rPr>
          <w:rFonts w:hAnsi="宋体" w:cs="宋体"/>
          <w:spacing w:val="-6"/>
          <w:highlight w:val="none"/>
        </w:rPr>
      </w:pPr>
      <w:r>
        <w:rPr>
          <w:rFonts w:hAnsi="宋体" w:cs="宋体"/>
          <w:spacing w:val="-6"/>
          <w:highlight w:val="none"/>
        </w:rPr>
        <w:t>5</w:t>
      </w:r>
      <w:r>
        <w:rPr>
          <w:rFonts w:hint="eastAsia" w:hAnsi="宋体" w:cs="宋体"/>
          <w:spacing w:val="-6"/>
          <w:highlight w:val="none"/>
        </w:rPr>
        <w:t>、我方保证按照本项目竞争性磋商文件要求提交磋商响应文件。</w:t>
      </w:r>
    </w:p>
    <w:p>
      <w:pPr>
        <w:pStyle w:val="33"/>
        <w:tabs>
          <w:tab w:val="left" w:pos="5580"/>
        </w:tabs>
        <w:spacing w:line="360" w:lineRule="auto"/>
        <w:ind w:firstLine="394" w:firstLineChars="199"/>
        <w:rPr>
          <w:rFonts w:hAnsi="宋体" w:cs="宋体"/>
          <w:spacing w:val="-6"/>
          <w:highlight w:val="none"/>
        </w:rPr>
      </w:pPr>
      <w:r>
        <w:rPr>
          <w:rFonts w:hint="eastAsia" w:hAnsi="宋体" w:cs="宋体"/>
          <w:spacing w:val="-6"/>
          <w:highlight w:val="none"/>
        </w:rPr>
        <w:t>6、我方承诺</w:t>
      </w:r>
      <w:r>
        <w:rPr>
          <w:rFonts w:hint="eastAsia" w:hAnsi="宋体" w:cs="宋体"/>
          <w:color w:val="000000" w:themeColor="text1"/>
          <w:spacing w:val="-6"/>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在采用不见面线上磋商时，</w:t>
      </w:r>
      <w:r>
        <w:rPr>
          <w:rFonts w:hint="eastAsia" w:hAnsi="宋体" w:cs="宋体"/>
          <w:color w:val="000000" w:themeColor="text1"/>
          <w:spacing w:val="-6"/>
          <w:highlight w:val="none"/>
          <w14:textFill>
            <w14:solidFill>
              <w14:schemeClr w14:val="tx1"/>
            </w14:solidFill>
          </w14:textFill>
        </w:rPr>
        <w:t>如</w:t>
      </w:r>
      <w:r>
        <w:rPr>
          <w:rFonts w:hint="eastAsia" w:hAnsi="宋体" w:cs="宋体"/>
          <w:spacing w:val="-6"/>
          <w:highlight w:val="none"/>
        </w:rPr>
        <w:t>我方未在规定时间内通过电子交易系统提交最后报价的，以我方的磋商响应函报价作为最后报价。</w:t>
      </w:r>
    </w:p>
    <w:p>
      <w:pPr>
        <w:pStyle w:val="33"/>
        <w:tabs>
          <w:tab w:val="left" w:pos="5580"/>
        </w:tabs>
        <w:spacing w:line="480" w:lineRule="auto"/>
        <w:ind w:firstLine="417" w:firstLineChars="199"/>
        <w:rPr>
          <w:rFonts w:hAnsi="宋体" w:cs="宋体"/>
          <w:highlight w:val="none"/>
        </w:rPr>
      </w:pPr>
      <w:r>
        <w:rPr>
          <w:rFonts w:hint="eastAsia" w:hAnsi="宋体" w:cs="宋体"/>
          <w:highlight w:val="none"/>
        </w:rPr>
        <w:t>7、我方愿意提供贵方可能另外要求的、与响应有关的文件资料，并保证我方已提供和将要提供的文件是真实的、准确的。</w:t>
      </w:r>
    </w:p>
    <w:p>
      <w:pPr>
        <w:pStyle w:val="33"/>
        <w:tabs>
          <w:tab w:val="left" w:pos="5580"/>
        </w:tabs>
        <w:spacing w:line="480" w:lineRule="auto"/>
        <w:ind w:firstLine="417" w:firstLineChars="199"/>
        <w:rPr>
          <w:rFonts w:hAnsi="宋体" w:cs="宋体"/>
          <w:highlight w:val="none"/>
        </w:rPr>
      </w:pPr>
      <w:r>
        <w:rPr>
          <w:rFonts w:hint="eastAsia" w:hAnsi="宋体" w:cs="宋体"/>
          <w:highlight w:val="none"/>
        </w:rPr>
        <w:t>8、我方完全理解贵方不一定将合同授予最低报价的供应商。</w:t>
      </w:r>
    </w:p>
    <w:p>
      <w:pPr>
        <w:pStyle w:val="33"/>
        <w:tabs>
          <w:tab w:val="left" w:pos="5580"/>
        </w:tabs>
        <w:spacing w:line="480" w:lineRule="auto"/>
        <w:ind w:right="360" w:firstLine="3570" w:firstLineChars="1700"/>
        <w:rPr>
          <w:rFonts w:hAnsi="宋体" w:cs="宋体"/>
          <w:highlight w:val="none"/>
        </w:rPr>
      </w:pPr>
    </w:p>
    <w:p>
      <w:pPr>
        <w:pStyle w:val="33"/>
        <w:tabs>
          <w:tab w:val="left" w:pos="5580"/>
        </w:tabs>
        <w:spacing w:line="480" w:lineRule="auto"/>
        <w:ind w:right="360" w:firstLine="3570" w:firstLineChars="1700"/>
        <w:rPr>
          <w:rFonts w:hAnsi="宋体" w:cs="宋体"/>
          <w:highlight w:val="none"/>
        </w:rPr>
      </w:pPr>
    </w:p>
    <w:p>
      <w:pPr>
        <w:pStyle w:val="33"/>
        <w:tabs>
          <w:tab w:val="left" w:pos="5580"/>
        </w:tabs>
        <w:spacing w:line="480" w:lineRule="auto"/>
        <w:ind w:right="360" w:firstLine="3570" w:firstLineChars="1700"/>
        <w:rPr>
          <w:rFonts w:hAnsi="宋体" w:cs="宋体"/>
          <w:highlight w:val="none"/>
          <w:u w:val="single"/>
        </w:rPr>
      </w:pPr>
      <w:r>
        <w:rPr>
          <w:rFonts w:hint="eastAsia" w:hAnsi="宋体" w:cs="宋体"/>
          <w:highlight w:val="none"/>
        </w:rPr>
        <w:t>供应商：</w:t>
      </w:r>
      <w:r>
        <w:rPr>
          <w:rFonts w:hAnsi="宋体" w:cs="宋体"/>
          <w:highlight w:val="none"/>
          <w:u w:val="single"/>
        </w:rPr>
        <w:t xml:space="preserve">                           </w:t>
      </w:r>
      <w:r>
        <w:rPr>
          <w:rFonts w:hint="eastAsia" w:hAnsi="宋体" w:cs="宋体"/>
          <w:highlight w:val="none"/>
          <w:u w:val="single"/>
        </w:rPr>
        <w:t>（盖章）</w:t>
      </w:r>
      <w:r>
        <w:rPr>
          <w:rFonts w:hAnsi="宋体" w:cs="宋体"/>
          <w:highlight w:val="none"/>
          <w:u w:val="single"/>
        </w:rPr>
        <w:t xml:space="preserve"> </w:t>
      </w:r>
    </w:p>
    <w:p>
      <w:pPr>
        <w:pStyle w:val="33"/>
        <w:tabs>
          <w:tab w:val="left" w:pos="5580"/>
        </w:tabs>
        <w:spacing w:line="480" w:lineRule="auto"/>
        <w:ind w:firstLine="420" w:firstLineChars="200"/>
        <w:rPr>
          <w:rFonts w:hAnsi="宋体" w:cs="宋体"/>
          <w:highlight w:val="none"/>
          <w:u w:val="single"/>
        </w:rPr>
      </w:pPr>
      <w:r>
        <w:rPr>
          <w:rFonts w:hAnsi="宋体" w:cs="宋体"/>
          <w:highlight w:val="none"/>
        </w:rPr>
        <w:t xml:space="preserve">                              </w:t>
      </w:r>
      <w:r>
        <w:rPr>
          <w:rFonts w:hint="eastAsia" w:hAnsi="宋体" w:cs="宋体"/>
          <w:highlight w:val="none"/>
        </w:rPr>
        <w:t>单位地址：</w:t>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 xml:space="preserve">      </w:t>
      </w:r>
    </w:p>
    <w:p>
      <w:pPr>
        <w:pStyle w:val="33"/>
        <w:tabs>
          <w:tab w:val="left" w:pos="5580"/>
        </w:tabs>
        <w:spacing w:line="480" w:lineRule="auto"/>
        <w:ind w:firstLine="420" w:firstLineChars="200"/>
        <w:rPr>
          <w:rFonts w:hAnsi="宋体" w:cs="宋体"/>
          <w:highlight w:val="none"/>
          <w:u w:val="single"/>
        </w:rPr>
      </w:pPr>
      <w:r>
        <w:rPr>
          <w:rFonts w:hAnsi="宋体" w:cs="宋体"/>
          <w:highlight w:val="none"/>
        </w:rPr>
        <w:t xml:space="preserve">                              </w:t>
      </w:r>
      <w:r>
        <w:rPr>
          <w:rFonts w:hint="eastAsia" w:hAnsi="宋体" w:cs="宋体"/>
          <w:highlight w:val="none"/>
        </w:rPr>
        <w:t>法定代表人：</w:t>
      </w:r>
      <w:r>
        <w:rPr>
          <w:rFonts w:hAnsi="宋体" w:cs="宋体"/>
          <w:highlight w:val="none"/>
          <w:u w:val="single"/>
        </w:rPr>
        <w:t xml:space="preserve">        </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（盖章）</w:t>
      </w:r>
    </w:p>
    <w:p>
      <w:pPr>
        <w:pStyle w:val="33"/>
        <w:tabs>
          <w:tab w:val="left" w:pos="5580"/>
        </w:tabs>
        <w:spacing w:line="480" w:lineRule="auto"/>
        <w:ind w:firstLine="3570" w:firstLineChars="1700"/>
        <w:rPr>
          <w:rFonts w:ascii="宋体" w:hAnsi="宋体" w:cs="宋体"/>
          <w:strike/>
          <w:dstrike w:val="0"/>
          <w:szCs w:val="21"/>
          <w:highlight w:val="none"/>
        </w:rPr>
      </w:pPr>
      <w:r>
        <w:rPr>
          <w:rFonts w:hint="eastAsia" w:hAnsi="宋体" w:cs="宋体"/>
          <w:highlight w:val="none"/>
        </w:rPr>
        <w:t>日期：</w:t>
      </w:r>
      <w:r>
        <w:rPr>
          <w:rFonts w:hAnsi="宋体" w:cs="宋体"/>
          <w:highlight w:val="none"/>
        </w:rPr>
        <w:t xml:space="preserve">          </w:t>
      </w:r>
      <w:r>
        <w:rPr>
          <w:rFonts w:hint="eastAsia" w:hAnsi="宋体" w:cs="宋体"/>
          <w:highlight w:val="none"/>
        </w:rPr>
        <w:t>年</w:t>
      </w:r>
      <w:r>
        <w:rPr>
          <w:rFonts w:hAnsi="宋体" w:cs="宋体"/>
          <w:highlight w:val="none"/>
        </w:rPr>
        <w:t xml:space="preserve">      </w:t>
      </w:r>
      <w:r>
        <w:rPr>
          <w:rFonts w:hint="eastAsia" w:hAnsi="宋体" w:cs="宋体"/>
          <w:highlight w:val="none"/>
        </w:rPr>
        <w:t>月</w:t>
      </w:r>
      <w:r>
        <w:rPr>
          <w:rFonts w:hAnsi="宋体" w:cs="宋体"/>
          <w:highlight w:val="none"/>
        </w:rPr>
        <w:t xml:space="preserve">      </w:t>
      </w:r>
      <w:r>
        <w:rPr>
          <w:rFonts w:hint="eastAsia" w:hAnsi="宋体" w:cs="宋体"/>
          <w:highlight w:val="none"/>
        </w:rPr>
        <w:t>日</w:t>
      </w:r>
      <w:bookmarkStart w:id="362" w:name="_Toc388283751"/>
    </w:p>
    <w:bookmarkEnd w:id="362"/>
    <w:p>
      <w:pPr>
        <w:pStyle w:val="5"/>
        <w:numPr>
          <w:ilvl w:val="0"/>
          <w:numId w:val="0"/>
        </w:numPr>
        <w:jc w:val="center"/>
        <w:rPr>
          <w:rFonts w:cs="宋体"/>
          <w:sz w:val="28"/>
          <w:szCs w:val="28"/>
          <w:highlight w:val="none"/>
        </w:rPr>
      </w:pPr>
      <w:bookmarkStart w:id="363" w:name="_Toc54941345"/>
      <w:bookmarkStart w:id="364" w:name="_Toc476584436"/>
      <w:bookmarkStart w:id="365" w:name="_Toc15038"/>
      <w:r>
        <w:rPr>
          <w:rFonts w:hint="eastAsia" w:cs="宋体"/>
          <w:sz w:val="28"/>
          <w:szCs w:val="28"/>
          <w:highlight w:val="none"/>
          <w:lang w:val="en-US" w:eastAsia="zh-CN"/>
        </w:rPr>
        <w:t>二、</w:t>
      </w:r>
      <w:r>
        <w:rPr>
          <w:rFonts w:hint="eastAsia" w:cs="宋体"/>
          <w:sz w:val="28"/>
          <w:szCs w:val="28"/>
          <w:highlight w:val="none"/>
        </w:rPr>
        <w:t>最</w:t>
      </w:r>
      <w:r>
        <w:rPr>
          <w:rFonts w:hint="eastAsia" w:cs="宋体"/>
          <w:sz w:val="28"/>
          <w:szCs w:val="28"/>
          <w:highlight w:val="none"/>
          <w:lang w:val="en-US" w:eastAsia="zh-CN"/>
        </w:rPr>
        <w:t>终</w:t>
      </w:r>
      <w:r>
        <w:rPr>
          <w:rFonts w:hint="eastAsia" w:cs="宋体"/>
          <w:sz w:val="28"/>
          <w:szCs w:val="28"/>
          <w:highlight w:val="none"/>
        </w:rPr>
        <w:t>报价表</w:t>
      </w:r>
      <w:bookmarkEnd w:id="363"/>
    </w:p>
    <w:p>
      <w:pPr>
        <w:pStyle w:val="6"/>
        <w:rPr>
          <w:highlight w:val="none"/>
        </w:rPr>
      </w:pPr>
    </w:p>
    <w:p>
      <w:pPr>
        <w:spacing w:line="360" w:lineRule="auto"/>
        <w:rPr>
          <w:sz w:val="24"/>
          <w:highlight w:val="none"/>
        </w:rPr>
      </w:pPr>
      <w:r>
        <w:rPr>
          <w:rFonts w:hint="eastAsia" w:ascii="宋体" w:hAnsi="宋体"/>
          <w:szCs w:val="21"/>
          <w:highlight w:val="none"/>
        </w:rPr>
        <w:t>项目名称：</w:t>
      </w:r>
      <w:r>
        <w:rPr>
          <w:rFonts w:ascii="宋体" w:hAnsi="宋体"/>
          <w:szCs w:val="21"/>
          <w:highlight w:val="none"/>
        </w:rPr>
        <w:t xml:space="preserve">  </w:t>
      </w:r>
    </w:p>
    <w:p>
      <w:pPr>
        <w:spacing w:line="360" w:lineRule="auto"/>
        <w:rPr>
          <w:rFonts w:eastAsia="仿宋"/>
          <w:kern w:val="0"/>
          <w:sz w:val="24"/>
          <w:highlight w:val="none"/>
          <w:lang w:val="zh-CN"/>
        </w:rPr>
      </w:pPr>
      <w:r>
        <w:rPr>
          <w:rFonts w:hint="eastAsia" w:ascii="宋体" w:hAnsi="宋体"/>
          <w:szCs w:val="21"/>
          <w:highlight w:val="none"/>
        </w:rPr>
        <w:t>项目编号：</w:t>
      </w:r>
      <w:r>
        <w:rPr>
          <w:rFonts w:ascii="宋体" w:hAnsi="宋体"/>
          <w:szCs w:val="21"/>
          <w:highlight w:val="none"/>
        </w:rPr>
        <w:t xml:space="preserve"> </w:t>
      </w:r>
    </w:p>
    <w:p>
      <w:pPr>
        <w:spacing w:line="360" w:lineRule="auto"/>
        <w:ind w:firstLine="6090" w:firstLineChars="2900"/>
        <w:rPr>
          <w:rFonts w:ascii="宋体"/>
          <w:highlight w:val="none"/>
        </w:rPr>
      </w:pPr>
      <w:r>
        <w:rPr>
          <w:rFonts w:hint="eastAsia" w:ascii="宋体" w:hAnsi="宋体"/>
          <w:highlight w:val="none"/>
        </w:rPr>
        <w:t>金额单位：人民币（元）</w:t>
      </w:r>
    </w:p>
    <w:tbl>
      <w:tblPr>
        <w:tblStyle w:val="6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highlight w:val="none"/>
              </w:rPr>
            </w:pPr>
            <w:r>
              <w:rPr>
                <w:rFonts w:hint="eastAsia" w:hAnsi="宋体"/>
                <w:sz w:val="24"/>
                <w:highlight w:val="none"/>
              </w:rPr>
              <w:t>最后报价</w:t>
            </w:r>
          </w:p>
        </w:tc>
        <w:tc>
          <w:tcPr>
            <w:tcW w:w="8167" w:type="dxa"/>
            <w:vAlign w:val="center"/>
          </w:tcPr>
          <w:p>
            <w:pPr>
              <w:wordWrap w:val="0"/>
              <w:spacing w:line="400" w:lineRule="exact"/>
              <w:rPr>
                <w:sz w:val="24"/>
                <w:highlight w:val="none"/>
              </w:rPr>
            </w:pPr>
            <w:r>
              <w:rPr>
                <w:rFonts w:hint="eastAsia" w:hAnsi="宋体"/>
                <w:sz w:val="24"/>
                <w:highlight w:val="none"/>
              </w:rPr>
              <w:t>大写：</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highlight w:val="none"/>
              </w:rPr>
            </w:pPr>
          </w:p>
        </w:tc>
        <w:tc>
          <w:tcPr>
            <w:tcW w:w="8167" w:type="dxa"/>
            <w:vAlign w:val="center"/>
          </w:tcPr>
          <w:p>
            <w:pPr>
              <w:wordWrap w:val="0"/>
              <w:rPr>
                <w:rFonts w:hAnsi="宋体"/>
                <w:sz w:val="24"/>
                <w:highlight w:val="none"/>
              </w:rPr>
            </w:pPr>
            <w:r>
              <w:rPr>
                <w:rFonts w:hint="eastAsia" w:hAnsi="宋体"/>
                <w:sz w:val="24"/>
                <w:highlight w:val="none"/>
              </w:rPr>
              <w:t>小写：</w:t>
            </w:r>
            <w:r>
              <w:rPr>
                <w:rFonts w:hAnsi="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63" w:type="dxa"/>
            <w:vAlign w:val="center"/>
          </w:tcPr>
          <w:p>
            <w:pPr>
              <w:spacing w:line="400" w:lineRule="exact"/>
              <w:ind w:firstLine="120" w:firstLineChars="50"/>
              <w:jc w:val="center"/>
              <w:rPr>
                <w:rFonts w:hint="eastAsia" w:eastAsia="宋体"/>
                <w:sz w:val="24"/>
                <w:highlight w:val="none"/>
                <w:lang w:eastAsia="zh-CN"/>
              </w:rPr>
            </w:pPr>
            <w:r>
              <w:rPr>
                <w:rFonts w:hint="eastAsia"/>
                <w:sz w:val="24"/>
                <w:highlight w:val="none"/>
                <w:lang w:eastAsia="zh-CN"/>
              </w:rPr>
              <w:t>工期</w:t>
            </w:r>
          </w:p>
        </w:tc>
        <w:tc>
          <w:tcPr>
            <w:tcW w:w="8167" w:type="dxa"/>
            <w:vAlign w:val="center"/>
          </w:tcPr>
          <w:p>
            <w:pPr>
              <w:spacing w:line="400" w:lineRule="exact"/>
              <w:rPr>
                <w:rFonts w:hint="default" w:eastAsia="宋体"/>
                <w:sz w:val="24"/>
                <w:highlight w:val="none"/>
                <w:lang w:val="en-US" w:eastAsia="zh-CN"/>
              </w:rPr>
            </w:pPr>
            <w:r>
              <w:rPr>
                <w:rFonts w:hint="eastAsia"/>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highlight w:val="none"/>
              </w:rPr>
            </w:pPr>
            <w:r>
              <w:rPr>
                <w:rFonts w:hint="eastAsia" w:hAnsi="宋体"/>
                <w:sz w:val="24"/>
                <w:highlight w:val="none"/>
              </w:rPr>
              <w:t>备注：</w:t>
            </w:r>
          </w:p>
          <w:p>
            <w:pPr>
              <w:spacing w:line="400" w:lineRule="exact"/>
              <w:rPr>
                <w:rFonts w:hAnsi="宋体"/>
                <w:sz w:val="24"/>
                <w:highlight w:val="none"/>
              </w:rPr>
            </w:pPr>
            <w:r>
              <w:rPr>
                <w:rFonts w:hAnsi="宋体"/>
                <w:sz w:val="24"/>
                <w:highlight w:val="none"/>
              </w:rPr>
              <w:t>1</w:t>
            </w:r>
            <w:r>
              <w:rPr>
                <w:rFonts w:hint="eastAsia" w:hAnsi="宋体"/>
                <w:sz w:val="24"/>
                <w:highlight w:val="none"/>
              </w:rPr>
              <w:t>、分项报价按总报价的同等比例下浮；</w:t>
            </w:r>
          </w:p>
          <w:p>
            <w:pPr>
              <w:spacing w:line="400" w:lineRule="exact"/>
              <w:rPr>
                <w:rFonts w:hAnsi="宋体"/>
                <w:sz w:val="24"/>
                <w:highlight w:val="none"/>
              </w:rPr>
            </w:pPr>
            <w:r>
              <w:rPr>
                <w:rFonts w:hAnsi="宋体"/>
                <w:sz w:val="24"/>
                <w:highlight w:val="none"/>
              </w:rPr>
              <w:t>2</w:t>
            </w:r>
            <w:r>
              <w:rPr>
                <w:rFonts w:hint="eastAsia" w:hAnsi="宋体"/>
                <w:sz w:val="24"/>
                <w:highlight w:val="none"/>
              </w:rPr>
              <w:t>、最后报价保留两位小数，小数点后第三位四舍五入。</w:t>
            </w:r>
          </w:p>
        </w:tc>
      </w:tr>
    </w:tbl>
    <w:p>
      <w:pPr>
        <w:spacing w:line="360" w:lineRule="auto"/>
        <w:rPr>
          <w:rFonts w:ascii="宋体"/>
          <w:b/>
          <w:sz w:val="24"/>
          <w:highlight w:val="none"/>
        </w:rPr>
      </w:pPr>
    </w:p>
    <w:p>
      <w:pPr>
        <w:spacing w:line="360" w:lineRule="auto"/>
        <w:rPr>
          <w:rFonts w:ascii="宋体"/>
          <w:b/>
          <w:sz w:val="24"/>
          <w:highlight w:val="none"/>
        </w:rPr>
      </w:pPr>
      <w:r>
        <w:rPr>
          <w:rFonts w:hint="eastAsia" w:ascii="宋体" w:hAnsi="宋体"/>
          <w:b/>
          <w:sz w:val="24"/>
          <w:highlight w:val="none"/>
        </w:rPr>
        <w:t>此表请各供应商准备好，以便在磋商时报价使用。（此表须加盖供应商电子公章及法定代表人电子签章，由供应商</w:t>
      </w:r>
      <w:r>
        <w:rPr>
          <w:rFonts w:hint="eastAsia" w:ascii="宋体" w:hAnsi="宋体" w:cs="宋体"/>
          <w:b/>
          <w:color w:val="000000"/>
          <w:sz w:val="24"/>
          <w:highlight w:val="none"/>
        </w:rPr>
        <w:t>通过电子交易系统</w:t>
      </w:r>
      <w:r>
        <w:rPr>
          <w:rFonts w:hint="eastAsia" w:ascii="宋体" w:hAnsi="宋体"/>
          <w:b/>
          <w:sz w:val="24"/>
          <w:highlight w:val="none"/>
        </w:rPr>
        <w:t>递交）</w:t>
      </w:r>
    </w:p>
    <w:p>
      <w:pPr>
        <w:spacing w:line="360" w:lineRule="auto"/>
        <w:ind w:firstLine="3465" w:firstLineChars="1650"/>
        <w:rPr>
          <w:rFonts w:ascii="宋体"/>
          <w:szCs w:val="21"/>
          <w:highlight w:val="none"/>
        </w:rPr>
      </w:pPr>
    </w:p>
    <w:p>
      <w:pPr>
        <w:spacing w:line="360" w:lineRule="auto"/>
        <w:ind w:firstLine="3465" w:firstLineChars="1650"/>
        <w:rPr>
          <w:rFonts w:ascii="宋体"/>
          <w:szCs w:val="21"/>
          <w:highlight w:val="none"/>
        </w:rPr>
      </w:pPr>
      <w:r>
        <w:rPr>
          <w:rFonts w:hint="eastAsia" w:ascii="宋体" w:hAnsi="宋体"/>
          <w:szCs w:val="21"/>
          <w:highlight w:val="none"/>
        </w:rPr>
        <w:t>供应商：</w:t>
      </w:r>
      <w:r>
        <w:rPr>
          <w:rFonts w:ascii="宋体" w:hAnsi="宋体"/>
          <w:szCs w:val="21"/>
          <w:highlight w:val="none"/>
          <w:u w:val="single"/>
        </w:rPr>
        <w:t xml:space="preserve">                          </w:t>
      </w:r>
      <w:r>
        <w:rPr>
          <w:rFonts w:hint="eastAsia" w:ascii="宋体" w:hAnsi="宋体"/>
          <w:szCs w:val="21"/>
          <w:highlight w:val="none"/>
        </w:rPr>
        <w:t>（盖章）</w:t>
      </w:r>
    </w:p>
    <w:p>
      <w:pPr>
        <w:spacing w:line="360" w:lineRule="auto"/>
        <w:ind w:firstLine="3561" w:firstLineChars="1696"/>
        <w:rPr>
          <w:rFonts w:ascii="宋体"/>
          <w:szCs w:val="21"/>
          <w:highlight w:val="none"/>
        </w:rPr>
      </w:pPr>
    </w:p>
    <w:p>
      <w:pPr>
        <w:spacing w:line="360" w:lineRule="auto"/>
        <w:ind w:firstLine="3465" w:firstLineChars="1650"/>
        <w:rPr>
          <w:rFonts w:asci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（签章）</w:t>
      </w:r>
    </w:p>
    <w:p>
      <w:pPr>
        <w:spacing w:line="360" w:lineRule="auto"/>
        <w:ind w:firstLine="3570" w:firstLineChars="1700"/>
        <w:rPr>
          <w:rFonts w:ascii="宋体"/>
          <w:szCs w:val="21"/>
          <w:highlight w:val="none"/>
        </w:rPr>
      </w:pPr>
    </w:p>
    <w:p>
      <w:pPr>
        <w:spacing w:line="360" w:lineRule="auto"/>
        <w:ind w:firstLine="3570" w:firstLineChars="1700"/>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u w:val="single"/>
        </w:rPr>
        <w:t>　</w:t>
      </w:r>
      <w:r>
        <w:rPr>
          <w:szCs w:val="21"/>
          <w:highlight w:val="none"/>
          <w:u w:val="single"/>
        </w:rPr>
        <w:t xml:space="preserve">     </w:t>
      </w:r>
      <w:r>
        <w:rPr>
          <w:rFonts w:hint="eastAsia"/>
          <w:szCs w:val="21"/>
          <w:highlight w:val="none"/>
        </w:rPr>
        <w:t>日</w:t>
      </w:r>
    </w:p>
    <w:p>
      <w:pPr>
        <w:spacing w:line="360" w:lineRule="auto"/>
        <w:ind w:left="2833" w:leftChars="1349"/>
        <w:rPr>
          <w:rFonts w:ascii="宋体"/>
          <w:szCs w:val="21"/>
          <w:highlight w:val="none"/>
        </w:rPr>
      </w:pPr>
    </w:p>
    <w:p>
      <w:pPr>
        <w:pStyle w:val="2"/>
      </w:pPr>
    </w:p>
    <w:p>
      <w:pPr>
        <w:spacing w:line="360" w:lineRule="auto"/>
        <w:ind w:left="2833" w:leftChars="1349"/>
        <w:rPr>
          <w:rFonts w:ascii="宋体"/>
          <w:szCs w:val="21"/>
          <w:highlight w:val="none"/>
        </w:rPr>
      </w:pPr>
    </w:p>
    <w:bookmarkEnd w:id="364"/>
    <w:bookmarkEnd w:id="365"/>
    <w:p>
      <w:pPr>
        <w:spacing w:line="360" w:lineRule="auto"/>
        <w:rPr>
          <w:rFonts w:ascii="宋体" w:cs="宋体"/>
          <w:szCs w:val="21"/>
          <w:highlight w:val="none"/>
        </w:rPr>
      </w:pPr>
    </w:p>
    <w:tbl>
      <w:tblPr>
        <w:tblStyle w:val="63"/>
        <w:tblW w:w="10488" w:type="dxa"/>
        <w:jc w:val="center"/>
        <w:tblLayout w:type="fixed"/>
        <w:tblCellMar>
          <w:top w:w="0" w:type="dxa"/>
          <w:left w:w="0" w:type="dxa"/>
          <w:bottom w:w="0" w:type="dxa"/>
          <w:right w:w="0" w:type="dxa"/>
        </w:tblCellMar>
      </w:tblPr>
      <w:tblGrid>
        <w:gridCol w:w="115"/>
        <w:gridCol w:w="1576"/>
        <w:gridCol w:w="558"/>
        <w:gridCol w:w="230"/>
        <w:gridCol w:w="673"/>
        <w:gridCol w:w="1247"/>
        <w:gridCol w:w="2593"/>
        <w:gridCol w:w="459"/>
        <w:gridCol w:w="444"/>
        <w:gridCol w:w="573"/>
        <w:gridCol w:w="673"/>
        <w:gridCol w:w="1347"/>
      </w:tblGrid>
      <w:tr>
        <w:tblPrEx>
          <w:tblCellMar>
            <w:top w:w="0" w:type="dxa"/>
            <w:left w:w="0" w:type="dxa"/>
            <w:bottom w:w="0" w:type="dxa"/>
            <w:right w:w="0" w:type="dxa"/>
          </w:tblCellMar>
        </w:tblPrEx>
        <w:trPr>
          <w:trHeight w:val="673" w:hRule="exact"/>
          <w:jc w:val="center"/>
        </w:trPr>
        <w:tc>
          <w:tcPr>
            <w:tcW w:w="2249" w:type="dxa"/>
            <w:gridSpan w:val="3"/>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eastAsia="宋体"/>
                <w:color w:val="auto"/>
                <w:highlight w:val="none"/>
                <w:lang w:val="en-US" w:eastAsia="zh-CN"/>
              </w:rPr>
            </w:pPr>
          </w:p>
        </w:tc>
        <w:tc>
          <w:tcPr>
            <w:tcW w:w="6219" w:type="dxa"/>
            <w:gridSpan w:val="7"/>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1084" w:firstLineChars="300"/>
              <w:jc w:val="both"/>
              <w:rPr>
                <w:rFonts w:hint="default" w:ascii="宋体" w:hAnsi="宋体" w:eastAsia="宋体" w:cs="宋体"/>
                <w:b/>
                <w:color w:val="auto"/>
                <w:spacing w:val="-2"/>
                <w:sz w:val="34"/>
                <w:highlight w:val="none"/>
              </w:rPr>
            </w:pPr>
            <w:r>
              <w:rPr>
                <w:rFonts w:hint="eastAsia" w:ascii="宋体" w:hAnsi="宋体" w:cs="宋体"/>
                <w:b/>
                <w:color w:val="auto"/>
                <w:sz w:val="36"/>
                <w:szCs w:val="36"/>
                <w:highlight w:val="none"/>
                <w:lang w:val="en-US" w:eastAsia="zh-CN"/>
              </w:rPr>
              <w:t>三</w:t>
            </w:r>
            <w:r>
              <w:rPr>
                <w:rFonts w:hint="eastAsia" w:ascii="宋体" w:hAnsi="宋体" w:eastAsia="宋体" w:cs="宋体"/>
                <w:b/>
                <w:color w:val="auto"/>
                <w:sz w:val="36"/>
                <w:szCs w:val="36"/>
                <w:highlight w:val="none"/>
              </w:rPr>
              <w:t>、</w:t>
            </w:r>
            <w:r>
              <w:rPr>
                <w:rFonts w:hint="default" w:ascii="宋体" w:hAnsi="宋体" w:eastAsia="宋体" w:cs="宋体"/>
                <w:b/>
                <w:color w:val="auto"/>
                <w:spacing w:val="-2"/>
                <w:sz w:val="34"/>
                <w:highlight w:val="none"/>
              </w:rPr>
              <w:t xml:space="preserve"> </w:t>
            </w:r>
            <w:r>
              <w:rPr>
                <w:rFonts w:hint="eastAsia" w:ascii="宋体" w:hAnsi="宋体" w:cs="宋体"/>
                <w:b/>
                <w:color w:val="auto"/>
                <w:spacing w:val="-2"/>
                <w:sz w:val="34"/>
                <w:highlight w:val="none"/>
                <w:lang w:eastAsia="zh-CN"/>
              </w:rPr>
              <w:t>首轮</w:t>
            </w:r>
            <w:r>
              <w:rPr>
                <w:rFonts w:hint="eastAsia" w:ascii="宋体" w:hAnsi="宋体" w:cs="宋体"/>
                <w:b/>
                <w:color w:val="auto"/>
                <w:spacing w:val="-2"/>
                <w:sz w:val="34"/>
                <w:highlight w:val="none"/>
                <w:lang w:val="en-US" w:eastAsia="zh-CN"/>
              </w:rPr>
              <w:t>磋商</w:t>
            </w:r>
            <w:r>
              <w:rPr>
                <w:rFonts w:hint="eastAsia" w:ascii="宋体" w:hAnsi="宋体" w:cs="宋体"/>
                <w:b/>
                <w:color w:val="auto"/>
                <w:spacing w:val="-2"/>
                <w:sz w:val="34"/>
                <w:highlight w:val="none"/>
                <w:lang w:eastAsia="zh-CN"/>
              </w:rPr>
              <w:t>总价封面</w:t>
            </w:r>
          </w:p>
        </w:tc>
        <w:tc>
          <w:tcPr>
            <w:tcW w:w="2020"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903"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45" w:hRule="exact"/>
          <w:jc w:val="center"/>
        </w:trPr>
        <w:tc>
          <w:tcPr>
            <w:tcW w:w="1691"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04" w:type="dxa"/>
            <w:gridSpan w:val="7"/>
            <w:vMerge w:val="restart"/>
            <w:tcBorders>
              <w:bottom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4"/>
                <w:highlight w:val="none"/>
              </w:rPr>
            </w:pPr>
          </w:p>
        </w:tc>
        <w:tc>
          <w:tcPr>
            <w:tcW w:w="1246" w:type="dxa"/>
            <w:gridSpan w:val="2"/>
            <w:vMerge w:val="restart"/>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b/>
                <w:color w:val="auto"/>
                <w:spacing w:val="-2"/>
                <w:sz w:val="34"/>
                <w:highlight w:val="none"/>
              </w:rPr>
            </w:pPr>
            <w:r>
              <w:rPr>
                <w:rFonts w:hint="default" w:ascii="宋体" w:hAnsi="宋体" w:eastAsia="宋体" w:cs="宋体"/>
                <w:b/>
                <w:color w:val="auto"/>
                <w:spacing w:val="-2"/>
                <w:sz w:val="34"/>
                <w:highlight w:val="none"/>
              </w:rPr>
              <w:t>工程</w:t>
            </w:r>
          </w:p>
        </w:tc>
        <w:tc>
          <w:tcPr>
            <w:tcW w:w="134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31" w:hRule="exact"/>
          <w:jc w:val="center"/>
        </w:trPr>
        <w:tc>
          <w:tcPr>
            <w:tcW w:w="1691"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04" w:type="dxa"/>
            <w:gridSpan w:val="7"/>
            <w:vMerge w:val="continue"/>
            <w:tcBorders>
              <w:bottom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246" w:type="dxa"/>
            <w:gridSpan w:val="2"/>
            <w:vMerge w:val="continue"/>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34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30" w:hRule="exact"/>
          <w:jc w:val="center"/>
        </w:trPr>
        <w:tc>
          <w:tcPr>
            <w:tcW w:w="1691"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04" w:type="dxa"/>
            <w:gridSpan w:val="7"/>
            <w:tcBorders>
              <w:top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2593" w:type="dxa"/>
            <w:gridSpan w:val="3"/>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31"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7" w:hRule="exact"/>
          <w:jc w:val="center"/>
        </w:trPr>
        <w:tc>
          <w:tcPr>
            <w:tcW w:w="115"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373" w:type="dxa"/>
            <w:gridSpan w:val="11"/>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color w:val="auto"/>
                <w:spacing w:val="-2"/>
                <w:sz w:val="42"/>
                <w:highlight w:val="none"/>
              </w:rPr>
            </w:pPr>
            <w:r>
              <w:rPr>
                <w:rFonts w:hint="eastAsia" w:ascii="宋体" w:hAnsi="宋体" w:cs="宋体"/>
                <w:b/>
                <w:color w:val="auto"/>
                <w:spacing w:val="-2"/>
                <w:sz w:val="42"/>
                <w:highlight w:val="none"/>
                <w:lang w:eastAsia="zh-CN"/>
              </w:rPr>
              <w:t>首轮</w:t>
            </w:r>
            <w:r>
              <w:rPr>
                <w:rFonts w:hint="eastAsia" w:ascii="宋体" w:hAnsi="宋体" w:cs="宋体"/>
                <w:b/>
                <w:color w:val="auto"/>
                <w:spacing w:val="-2"/>
                <w:sz w:val="42"/>
                <w:highlight w:val="none"/>
                <w:lang w:val="en-US" w:eastAsia="zh-CN"/>
              </w:rPr>
              <w:t>磋商</w:t>
            </w:r>
            <w:r>
              <w:rPr>
                <w:rFonts w:hint="eastAsia" w:ascii="宋体" w:hAnsi="宋体" w:cs="宋体"/>
                <w:b/>
                <w:color w:val="auto"/>
                <w:spacing w:val="-2"/>
                <w:sz w:val="42"/>
                <w:highlight w:val="none"/>
                <w:lang w:eastAsia="zh-CN"/>
              </w:rPr>
              <w:t>总价</w:t>
            </w:r>
          </w:p>
        </w:tc>
      </w:tr>
      <w:tr>
        <w:tblPrEx>
          <w:tblCellMar>
            <w:top w:w="0" w:type="dxa"/>
            <w:left w:w="0" w:type="dxa"/>
            <w:bottom w:w="0" w:type="dxa"/>
            <w:right w:w="0" w:type="dxa"/>
          </w:tblCellMar>
        </w:tblPrEx>
        <w:trPr>
          <w:trHeight w:val="1018"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7"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44" w:hRule="exact"/>
          <w:jc w:val="center"/>
        </w:trPr>
        <w:tc>
          <w:tcPr>
            <w:tcW w:w="2479" w:type="dxa"/>
            <w:gridSpan w:val="4"/>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92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32"/>
                <w:highlight w:val="none"/>
              </w:rPr>
            </w:pPr>
            <w:r>
              <w:rPr>
                <w:rFonts w:hint="eastAsia" w:ascii="宋体" w:hAnsi="宋体" w:cs="宋体"/>
                <w:color w:val="auto"/>
                <w:spacing w:val="-2"/>
                <w:sz w:val="32"/>
                <w:highlight w:val="none"/>
                <w:lang w:val="en-US" w:eastAsia="zh-CN"/>
              </w:rPr>
              <w:t>供应商</w:t>
            </w:r>
            <w:r>
              <w:rPr>
                <w:rFonts w:hint="default" w:ascii="宋体" w:hAnsi="宋体" w:eastAsia="宋体" w:cs="宋体"/>
                <w:color w:val="auto"/>
                <w:spacing w:val="-2"/>
                <w:sz w:val="32"/>
                <w:highlight w:val="none"/>
              </w:rPr>
              <w:t xml:space="preserve">  ：</w:t>
            </w:r>
          </w:p>
        </w:tc>
        <w:tc>
          <w:tcPr>
            <w:tcW w:w="3052" w:type="dxa"/>
            <w:gridSpan w:val="2"/>
            <w:tcBorders>
              <w:bottom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037" w:type="dxa"/>
            <w:gridSpan w:val="4"/>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9" w:hRule="exact"/>
          <w:jc w:val="center"/>
        </w:trPr>
        <w:tc>
          <w:tcPr>
            <w:tcW w:w="4399" w:type="dxa"/>
            <w:gridSpan w:val="6"/>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52" w:type="dxa"/>
            <w:gridSpan w:val="2"/>
            <w:tcBorders>
              <w:top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default" w:ascii="宋体" w:hAnsi="宋体" w:eastAsia="宋体" w:cs="宋体"/>
                <w:color w:val="auto"/>
                <w:spacing w:val="-2"/>
                <w:sz w:val="20"/>
                <w:highlight w:val="none"/>
              </w:rPr>
              <w:t>（单位盖章）</w:t>
            </w:r>
          </w:p>
        </w:tc>
        <w:tc>
          <w:tcPr>
            <w:tcW w:w="3037" w:type="dxa"/>
            <w:gridSpan w:val="4"/>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88"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88"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r>
              <w:rPr>
                <w:rFonts w:hint="default" w:ascii="宋体" w:hAnsi="宋体" w:eastAsia="宋体" w:cs="宋体"/>
                <w:color w:val="auto"/>
                <w:spacing w:val="-2"/>
                <w:sz w:val="32"/>
                <w:highlight w:val="none"/>
              </w:rPr>
              <w:t>年   月   日</w:t>
            </w: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933" w:hRule="exact"/>
          <w:jc w:val="center"/>
        </w:trPr>
        <w:tc>
          <w:tcPr>
            <w:tcW w:w="3152"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bl>
    <w:tbl>
      <w:tblPr>
        <w:tblStyle w:val="63"/>
        <w:tblpPr w:leftFromText="180" w:rightFromText="180" w:vertAnchor="text" w:horzAnchor="page" w:tblpXSpec="center" w:tblpY="482"/>
        <w:tblOverlap w:val="never"/>
        <w:tblW w:w="10373" w:type="dxa"/>
        <w:jc w:val="center"/>
        <w:tblLayout w:type="fixed"/>
        <w:tblCellMar>
          <w:top w:w="0" w:type="dxa"/>
          <w:left w:w="0" w:type="dxa"/>
          <w:bottom w:w="0" w:type="dxa"/>
          <w:right w:w="0" w:type="dxa"/>
        </w:tblCellMar>
      </w:tblPr>
      <w:tblGrid>
        <w:gridCol w:w="903"/>
        <w:gridCol w:w="1690"/>
        <w:gridCol w:w="115"/>
        <w:gridCol w:w="115"/>
        <w:gridCol w:w="229"/>
        <w:gridCol w:w="100"/>
        <w:gridCol w:w="903"/>
        <w:gridCol w:w="71"/>
        <w:gridCol w:w="2981"/>
        <w:gridCol w:w="556"/>
        <w:gridCol w:w="1593"/>
        <w:gridCol w:w="115"/>
        <w:gridCol w:w="1002"/>
      </w:tblGrid>
      <w:tr>
        <w:tblPrEx>
          <w:tblCellMar>
            <w:top w:w="0" w:type="dxa"/>
            <w:left w:w="0" w:type="dxa"/>
            <w:bottom w:w="0" w:type="dxa"/>
            <w:right w:w="0" w:type="dxa"/>
          </w:tblCellMar>
        </w:tblPrEx>
        <w:trPr>
          <w:trHeight w:val="1017" w:hRule="exact"/>
          <w:jc w:val="center"/>
        </w:trPr>
        <w:tc>
          <w:tcPr>
            <w:tcW w:w="10373" w:type="dxa"/>
            <w:gridSpan w:val="13"/>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color w:val="auto"/>
                <w:spacing w:val="-2"/>
                <w:sz w:val="42"/>
                <w:highlight w:val="none"/>
              </w:rPr>
            </w:pPr>
            <w:r>
              <w:rPr>
                <w:rFonts w:hint="eastAsia" w:ascii="宋体" w:hAnsi="宋体" w:cs="宋体"/>
                <w:b/>
                <w:color w:val="auto"/>
                <w:spacing w:val="-2"/>
                <w:sz w:val="42"/>
                <w:highlight w:val="none"/>
                <w:lang w:eastAsia="zh-CN"/>
              </w:rPr>
              <w:t>首轮</w:t>
            </w:r>
            <w:r>
              <w:rPr>
                <w:rFonts w:hint="eastAsia" w:ascii="宋体" w:hAnsi="宋体" w:cs="宋体"/>
                <w:b/>
                <w:color w:val="auto"/>
                <w:spacing w:val="-2"/>
                <w:sz w:val="42"/>
                <w:highlight w:val="none"/>
                <w:lang w:val="en-US" w:eastAsia="zh-CN"/>
              </w:rPr>
              <w:t>磋商</w:t>
            </w:r>
            <w:r>
              <w:rPr>
                <w:rFonts w:hint="eastAsia" w:ascii="宋体" w:hAnsi="宋体" w:cs="宋体"/>
                <w:b/>
                <w:color w:val="auto"/>
                <w:spacing w:val="-2"/>
                <w:sz w:val="42"/>
                <w:highlight w:val="none"/>
                <w:lang w:eastAsia="zh-CN"/>
              </w:rPr>
              <w:t>总价</w:t>
            </w:r>
          </w:p>
        </w:tc>
      </w:tr>
      <w:tr>
        <w:tblPrEx>
          <w:tblCellMar>
            <w:top w:w="0" w:type="dxa"/>
            <w:left w:w="0" w:type="dxa"/>
            <w:bottom w:w="0" w:type="dxa"/>
            <w:right w:w="0" w:type="dxa"/>
          </w:tblCellMar>
        </w:tblPrEx>
        <w:trPr>
          <w:trHeight w:val="574"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02"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690" w:type="dxa"/>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采  购</w:t>
            </w:r>
            <w:r>
              <w:rPr>
                <w:rFonts w:hint="default" w:ascii="宋体" w:hAnsi="宋体" w:eastAsia="宋体" w:cs="宋体"/>
                <w:color w:val="auto"/>
                <w:spacing w:val="-2"/>
                <w:sz w:val="24"/>
                <w:highlight w:val="none"/>
              </w:rPr>
              <w:t xml:space="preserve">  人：</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30"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7"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690" w:type="dxa"/>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工 程 名 称：</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29"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44"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2149" w:type="dxa"/>
            <w:gridSpan w:val="4"/>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eastAsia" w:ascii="宋体" w:hAnsi="宋体" w:cs="宋体"/>
                <w:color w:val="auto"/>
                <w:spacing w:val="-2"/>
                <w:sz w:val="24"/>
                <w:highlight w:val="none"/>
                <w:lang w:eastAsia="zh-CN"/>
              </w:rPr>
              <w:t>首轮磋商总价</w:t>
            </w:r>
            <w:r>
              <w:rPr>
                <w:rFonts w:hint="default" w:ascii="宋体" w:hAnsi="宋体" w:eastAsia="宋体" w:cs="宋体"/>
                <w:color w:val="auto"/>
                <w:spacing w:val="-2"/>
                <w:sz w:val="24"/>
                <w:highlight w:val="none"/>
              </w:rPr>
              <w:t>（小写）：</w:t>
            </w:r>
          </w:p>
        </w:tc>
        <w:tc>
          <w:tcPr>
            <w:tcW w:w="100"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15" w:hRule="exact"/>
          <w:jc w:val="center"/>
        </w:trPr>
        <w:tc>
          <w:tcPr>
            <w:tcW w:w="3152"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9"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2149" w:type="dxa"/>
            <w:gridSpan w:val="4"/>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 xml:space="preserve">        （大写）：</w:t>
            </w:r>
          </w:p>
        </w:tc>
        <w:tc>
          <w:tcPr>
            <w:tcW w:w="100"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14" w:hRule="exact"/>
          <w:jc w:val="center"/>
        </w:trPr>
        <w:tc>
          <w:tcPr>
            <w:tcW w:w="3152"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8"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690" w:type="dxa"/>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供应商</w:t>
            </w:r>
            <w:r>
              <w:rPr>
                <w:rFonts w:hint="default" w:ascii="宋体" w:hAnsi="宋体" w:eastAsia="宋体" w:cs="宋体"/>
                <w:color w:val="auto"/>
                <w:spacing w:val="-2"/>
                <w:sz w:val="24"/>
                <w:highlight w:val="none"/>
              </w:rPr>
              <w:t>：</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418" w:type="dxa"/>
            <w:gridSpan w:val="5"/>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537" w:type="dxa"/>
            <w:gridSpan w:val="2"/>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default" w:ascii="宋体" w:hAnsi="宋体" w:eastAsia="宋体" w:cs="宋体"/>
                <w:color w:val="auto"/>
                <w:spacing w:val="-2"/>
                <w:sz w:val="20"/>
                <w:highlight w:val="none"/>
              </w:rPr>
              <w:t>（单位盖章）</w:t>
            </w:r>
          </w:p>
        </w:tc>
        <w:tc>
          <w:tcPr>
            <w:tcW w:w="1708"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674"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132"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805"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法定代表人</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或其</w:t>
            </w:r>
            <w:r>
              <w:rPr>
                <w:rFonts w:hint="eastAsia" w:ascii="宋体" w:hAnsi="宋体" w:eastAsia="宋体" w:cs="宋体"/>
                <w:color w:val="auto"/>
                <w:spacing w:val="-2"/>
                <w:sz w:val="24"/>
                <w:highlight w:val="none"/>
                <w:lang w:val="en-US" w:eastAsia="zh-CN"/>
              </w:rPr>
              <w:t>委托代理</w:t>
            </w:r>
            <w:r>
              <w:rPr>
                <w:rFonts w:hint="default" w:ascii="宋体" w:hAnsi="宋体" w:eastAsia="宋体" w:cs="宋体"/>
                <w:color w:val="auto"/>
                <w:spacing w:val="-2"/>
                <w:sz w:val="24"/>
                <w:highlight w:val="none"/>
              </w:rPr>
              <w:t>人：</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433" w:type="dxa"/>
            <w:gridSpan w:val="7"/>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44" w:hRule="exact"/>
          <w:jc w:val="center"/>
        </w:trPr>
        <w:tc>
          <w:tcPr>
            <w:tcW w:w="2823" w:type="dxa"/>
            <w:gridSpan w:val="4"/>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303" w:type="dxa"/>
            <w:gridSpan w:val="4"/>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537" w:type="dxa"/>
            <w:gridSpan w:val="2"/>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default" w:ascii="宋体" w:hAnsi="宋体" w:eastAsia="宋体" w:cs="宋体"/>
                <w:color w:val="auto"/>
                <w:spacing w:val="-2"/>
                <w:sz w:val="20"/>
                <w:highlight w:val="none"/>
              </w:rPr>
              <w:t>（签字或盖章）</w:t>
            </w:r>
          </w:p>
        </w:tc>
        <w:tc>
          <w:tcPr>
            <w:tcW w:w="159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573"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673"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805"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编  制  人：</w:t>
            </w:r>
          </w:p>
        </w:tc>
        <w:tc>
          <w:tcPr>
            <w:tcW w:w="6548" w:type="dxa"/>
            <w:gridSpan w:val="8"/>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44"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418" w:type="dxa"/>
            <w:gridSpan w:val="5"/>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537" w:type="dxa"/>
            <w:gridSpan w:val="2"/>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eastAsia" w:ascii="宋体" w:hAnsi="宋体" w:eastAsia="宋体" w:cs="宋体"/>
                <w:color w:val="auto"/>
                <w:spacing w:val="-2"/>
                <w:sz w:val="20"/>
                <w:highlight w:val="none"/>
                <w:lang w:val="en-US" w:eastAsia="zh-CN"/>
              </w:rPr>
              <w:t>（盖造价人员执业专用章或电子执业章）</w:t>
            </w:r>
          </w:p>
        </w:tc>
        <w:tc>
          <w:tcPr>
            <w:tcW w:w="159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574"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673" w:hRule="exact"/>
          <w:jc w:val="center"/>
        </w:trPr>
        <w:tc>
          <w:tcPr>
            <w:tcW w:w="3052" w:type="dxa"/>
            <w:gridSpan w:val="5"/>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3"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时 间：</w:t>
            </w:r>
          </w:p>
        </w:tc>
        <w:tc>
          <w:tcPr>
            <w:tcW w:w="3052"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年   月   日</w:t>
            </w:r>
          </w:p>
        </w:tc>
        <w:tc>
          <w:tcPr>
            <w:tcW w:w="3266" w:type="dxa"/>
            <w:gridSpan w:val="4"/>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bl>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0"/>
          <w:highlight w:val="none"/>
        </w:rPr>
      </w:pPr>
    </w:p>
    <w:p>
      <w:pPr>
        <w:pageBreakBefore w:val="0"/>
        <w:kinsoku/>
        <w:wordWrap/>
        <w:overflowPunct/>
        <w:topLinePunct w:val="0"/>
        <w:bidi w:val="0"/>
        <w:spacing w:line="240" w:lineRule="auto"/>
        <w:rPr>
          <w:color w:val="auto"/>
          <w:highlight w:val="none"/>
        </w:rPr>
      </w:pPr>
    </w:p>
    <w:p>
      <w:pPr>
        <w:pageBreakBefore w:val="0"/>
        <w:kinsoku/>
        <w:wordWrap/>
        <w:overflowPunct/>
        <w:topLinePunct w:val="0"/>
        <w:bidi w:val="0"/>
        <w:spacing w:line="240" w:lineRule="auto"/>
        <w:rPr>
          <w:color w:val="auto"/>
          <w:highlight w:val="none"/>
        </w:rPr>
      </w:pPr>
    </w:p>
    <w:p>
      <w:pPr>
        <w:pageBreakBefore w:val="0"/>
        <w:kinsoku/>
        <w:wordWrap/>
        <w:overflowPunct/>
        <w:topLinePunct w:val="0"/>
        <w:bidi w:val="0"/>
        <w:spacing w:line="240" w:lineRule="auto"/>
        <w:rPr>
          <w:color w:val="auto"/>
          <w:highlight w:val="none"/>
        </w:rPr>
      </w:pPr>
    </w:p>
    <w:p>
      <w:pPr>
        <w:pageBreakBefore w:val="0"/>
        <w:kinsoku/>
        <w:wordWrap/>
        <w:overflowPunct/>
        <w:topLinePunct w:val="0"/>
        <w:bidi w:val="0"/>
        <w:adjustRightInd w:val="0"/>
        <w:snapToGrid w:val="0"/>
        <w:spacing w:beforeAutospacing="0" w:afterAutospacing="0" w:line="240" w:lineRule="auto"/>
        <w:jc w:val="center"/>
        <w:rPr>
          <w:rFonts w:hint="eastAsia" w:ascii="宋体" w:hAnsi="宋体" w:eastAsia="宋体" w:cs="宋体"/>
          <w:color w:val="auto"/>
          <w:sz w:val="32"/>
          <w:szCs w:val="32"/>
          <w:highlight w:val="none"/>
        </w:rPr>
      </w:pPr>
    </w:p>
    <w:tbl>
      <w:tblPr>
        <w:tblStyle w:val="63"/>
        <w:tblW w:w="0" w:type="auto"/>
        <w:tblInd w:w="0" w:type="dxa"/>
        <w:tblLayout w:type="fixed"/>
        <w:tblCellMar>
          <w:top w:w="0" w:type="dxa"/>
          <w:left w:w="0" w:type="dxa"/>
          <w:bottom w:w="0" w:type="dxa"/>
          <w:right w:w="0" w:type="dxa"/>
        </w:tblCellMar>
      </w:tblPr>
      <w:tblGrid>
        <w:gridCol w:w="6591"/>
        <w:gridCol w:w="2329"/>
      </w:tblGrid>
      <w:tr>
        <w:tblPrEx>
          <w:tblCellMar>
            <w:top w:w="0" w:type="dxa"/>
            <w:left w:w="0" w:type="dxa"/>
            <w:bottom w:w="0" w:type="dxa"/>
            <w:right w:w="0" w:type="dxa"/>
          </w:tblCellMar>
        </w:tblPrEx>
        <w:trPr>
          <w:trHeight w:val="1594" w:hRule="exact"/>
        </w:trPr>
        <w:tc>
          <w:tcPr>
            <w:tcW w:w="6591" w:type="dxa"/>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color w:val="auto"/>
                <w:spacing w:val="-2"/>
                <w:sz w:val="42"/>
                <w:highlight w:val="none"/>
                <w:lang w:eastAsia="zh-CN"/>
              </w:rPr>
            </w:pPr>
            <w:r>
              <w:rPr>
                <w:rFonts w:hint="eastAsia" w:ascii="宋体" w:hAnsi="宋体" w:eastAsia="宋体" w:cs="宋体"/>
                <w:b/>
                <w:color w:val="auto"/>
                <w:spacing w:val="-2"/>
                <w:sz w:val="42"/>
                <w:highlight w:val="none"/>
                <w:lang w:val="en-US" w:eastAsia="zh-CN"/>
              </w:rPr>
              <w:t xml:space="preserve">            </w:t>
            </w:r>
            <w:r>
              <w:rPr>
                <w:rFonts w:hint="eastAsia" w:ascii="宋体" w:hAnsi="宋体" w:eastAsia="宋体" w:cs="宋体"/>
                <w:b/>
                <w:color w:val="auto"/>
                <w:spacing w:val="-2"/>
                <w:sz w:val="42"/>
                <w:highlight w:val="none"/>
                <w:lang w:eastAsia="zh-CN"/>
              </w:rPr>
              <w:t>总说明</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both"/>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工程名称：</w:t>
            </w:r>
          </w:p>
        </w:tc>
        <w:tc>
          <w:tcPr>
            <w:tcW w:w="2329" w:type="dxa"/>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p>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p>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第   页 共   页</w:t>
            </w:r>
          </w:p>
        </w:tc>
      </w:tr>
      <w:tr>
        <w:trPr>
          <w:trHeight w:val="374" w:hRule="exact"/>
        </w:trPr>
        <w:tc>
          <w:tcPr>
            <w:tcW w:w="8920" w:type="dxa"/>
            <w:gridSpan w:val="2"/>
            <w:tcBorders>
              <w:top w:val="single" w:color="000000" w:sz="10" w:space="0"/>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8"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8"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821"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7" w:hRule="exact"/>
        </w:trPr>
        <w:tc>
          <w:tcPr>
            <w:tcW w:w="8920" w:type="dxa"/>
            <w:gridSpan w:val="2"/>
            <w:tcBorders>
              <w:left w:val="single" w:color="000000" w:sz="10" w:space="0"/>
              <w:bottom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bl>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tbl>
      <w:tblPr>
        <w:tblStyle w:val="63"/>
        <w:tblW w:w="0" w:type="auto"/>
        <w:tblInd w:w="0" w:type="dxa"/>
        <w:tblLayout w:type="fixed"/>
        <w:tblCellMar>
          <w:top w:w="0" w:type="dxa"/>
          <w:left w:w="0" w:type="dxa"/>
          <w:bottom w:w="0" w:type="dxa"/>
          <w:right w:w="0" w:type="dxa"/>
        </w:tblCellMar>
      </w:tblPr>
      <w:tblGrid>
        <w:gridCol w:w="874"/>
        <w:gridCol w:w="3023"/>
        <w:gridCol w:w="1860"/>
        <w:gridCol w:w="504"/>
        <w:gridCol w:w="982"/>
        <w:gridCol w:w="64"/>
        <w:gridCol w:w="1691"/>
        <w:gridCol w:w="30"/>
      </w:tblGrid>
      <w:tr>
        <w:tblPrEx>
          <w:tblCellMar>
            <w:top w:w="0" w:type="dxa"/>
            <w:left w:w="0" w:type="dxa"/>
            <w:bottom w:w="0" w:type="dxa"/>
            <w:right w:w="0" w:type="dxa"/>
          </w:tblCellMar>
        </w:tblPrEx>
        <w:trPr>
          <w:trHeight w:val="673" w:hRule="exact"/>
        </w:trPr>
        <w:tc>
          <w:tcPr>
            <w:tcW w:w="9028"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color w:val="auto"/>
                <w:spacing w:val="-2"/>
                <w:sz w:val="32"/>
                <w:highlight w:val="none"/>
              </w:rPr>
            </w:pPr>
            <w:r>
              <w:rPr>
                <w:rFonts w:hint="eastAsia" w:ascii="宋体" w:hAnsi="宋体" w:eastAsia="宋体" w:cs="宋体"/>
                <w:b/>
                <w:color w:val="auto"/>
                <w:spacing w:val="-2"/>
                <w:sz w:val="32"/>
                <w:highlight w:val="none"/>
                <w:lang w:eastAsia="zh-CN"/>
              </w:rPr>
              <w:t>（一）</w:t>
            </w:r>
            <w:r>
              <w:rPr>
                <w:rFonts w:hint="default" w:ascii="宋体" w:hAnsi="宋体" w:eastAsia="宋体" w:cs="宋体"/>
                <w:b/>
                <w:color w:val="auto"/>
                <w:spacing w:val="-2"/>
                <w:sz w:val="32"/>
                <w:highlight w:val="none"/>
              </w:rPr>
              <w:t xml:space="preserve"> 建设项目投标报价汇总表</w:t>
            </w:r>
          </w:p>
        </w:tc>
      </w:tr>
      <w:tr>
        <w:tblPrEx>
          <w:tblCellMar>
            <w:top w:w="0" w:type="dxa"/>
            <w:left w:w="0" w:type="dxa"/>
            <w:bottom w:w="0" w:type="dxa"/>
            <w:right w:w="0" w:type="dxa"/>
          </w:tblCellMar>
        </w:tblPrEx>
        <w:trPr>
          <w:trHeight w:val="499" w:hRule="exact"/>
        </w:trPr>
        <w:tc>
          <w:tcPr>
            <w:tcW w:w="6261" w:type="dxa"/>
            <w:gridSpan w:val="4"/>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工程名称：</w:t>
            </w:r>
          </w:p>
        </w:tc>
        <w:tc>
          <w:tcPr>
            <w:tcW w:w="1046" w:type="dxa"/>
            <w:gridSpan w:val="2"/>
            <w:tcBorders>
              <w:bottom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721" w:type="dxa"/>
            <w:gridSpan w:val="2"/>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第   页 共   页</w:t>
            </w:r>
          </w:p>
        </w:tc>
      </w:tr>
      <w:tr>
        <w:tblPrEx>
          <w:tblCellMar>
            <w:top w:w="0" w:type="dxa"/>
            <w:left w:w="0" w:type="dxa"/>
            <w:bottom w:w="0" w:type="dxa"/>
            <w:right w:w="0" w:type="dxa"/>
          </w:tblCellMar>
        </w:tblPrEx>
        <w:trPr>
          <w:trHeight w:val="385" w:hRule="exact"/>
        </w:trPr>
        <w:tc>
          <w:tcPr>
            <w:tcW w:w="874" w:type="dxa"/>
            <w:vMerge w:val="restart"/>
            <w:tcBorders>
              <w:top w:val="single" w:color="000000" w:sz="10" w:space="0"/>
              <w:left w:val="single" w:color="000000" w:sz="10"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序号</w:t>
            </w:r>
          </w:p>
        </w:tc>
        <w:tc>
          <w:tcPr>
            <w:tcW w:w="3023" w:type="dxa"/>
            <w:vMerge w:val="restart"/>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单项工程名称</w:t>
            </w:r>
          </w:p>
        </w:tc>
        <w:tc>
          <w:tcPr>
            <w:tcW w:w="1860" w:type="dxa"/>
            <w:vMerge w:val="restart"/>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金额(元)</w:t>
            </w:r>
          </w:p>
        </w:tc>
        <w:tc>
          <w:tcPr>
            <w:tcW w:w="3271" w:type="dxa"/>
            <w:gridSpan w:val="5"/>
            <w:tcBorders>
              <w:top w:val="single" w:color="000000" w:sz="10" w:space="0"/>
              <w:left w:val="single" w:color="000000" w:sz="4" w:space="0"/>
              <w:bottom w:val="single" w:color="000000" w:sz="4" w:space="0"/>
              <w:right w:val="single" w:color="000000" w:sz="10"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其中：（元）</w:t>
            </w:r>
          </w:p>
        </w:tc>
      </w:tr>
      <w:tr>
        <w:tblPrEx>
          <w:tblCellMar>
            <w:top w:w="0" w:type="dxa"/>
            <w:left w:w="0" w:type="dxa"/>
            <w:bottom w:w="0" w:type="dxa"/>
            <w:right w:w="0" w:type="dxa"/>
          </w:tblCellMar>
        </w:tblPrEx>
        <w:trPr>
          <w:trHeight w:val="489" w:hRule="exact"/>
        </w:trPr>
        <w:tc>
          <w:tcPr>
            <w:tcW w:w="874" w:type="dxa"/>
            <w:vMerge w:val="continue"/>
            <w:tcBorders>
              <w:top w:val="single" w:color="000000" w:sz="10" w:space="0"/>
              <w:left w:val="single" w:color="000000" w:sz="10"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23" w:type="dxa"/>
            <w:vMerge w:val="continue"/>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860" w:type="dxa"/>
            <w:vMerge w:val="continue"/>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暂估价</w:t>
            </w:r>
          </w:p>
        </w:tc>
        <w:tc>
          <w:tcPr>
            <w:tcW w:w="1785" w:type="dxa"/>
            <w:gridSpan w:val="3"/>
            <w:tcBorders>
              <w:top w:val="single" w:color="000000" w:sz="4" w:space="0"/>
              <w:left w:val="single" w:color="000000" w:sz="4" w:space="0"/>
              <w:bottom w:val="single" w:color="000000" w:sz="4" w:space="0"/>
              <w:right w:val="single" w:color="000000" w:sz="10"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不可竞争费</w:t>
            </w: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r>
              <w:rPr>
                <w:rFonts w:hint="default" w:ascii="宋体" w:hAnsi="宋体" w:eastAsia="宋体" w:cs="宋体"/>
                <w:color w:val="auto"/>
                <w:spacing w:val="-2"/>
                <w:sz w:val="21"/>
                <w:highlight w:val="none"/>
              </w:rPr>
              <w:t xml:space="preserve"> </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r>
              <w:rPr>
                <w:rFonts w:hint="default" w:ascii="宋体" w:hAnsi="宋体" w:eastAsia="宋体" w:cs="宋体"/>
                <w:color w:val="auto"/>
                <w:spacing w:val="-2"/>
                <w:sz w:val="21"/>
                <w:highlight w:val="none"/>
              </w:rPr>
              <w:t xml:space="preserve"> </w:t>
            </w: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r>
              <w:rPr>
                <w:rFonts w:hint="default" w:ascii="宋体" w:hAnsi="宋体" w:eastAsia="宋体" w:cs="宋体"/>
                <w:color w:val="auto"/>
                <w:spacing w:val="-2"/>
                <w:sz w:val="21"/>
                <w:highlight w:val="none"/>
              </w:rPr>
              <w:t xml:space="preserve"> </w:t>
            </w: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bl>
    <w:p>
      <w:pPr>
        <w:pageBreakBefore w:val="0"/>
        <w:kinsoku/>
        <w:wordWrap/>
        <w:overflowPunct/>
        <w:topLinePunct w:val="0"/>
        <w:bidi w:val="0"/>
        <w:adjustRightInd w:val="0"/>
        <w:snapToGrid w:val="0"/>
        <w:spacing w:beforeAutospacing="0" w:afterAutospacing="0" w:line="240" w:lineRule="auto"/>
        <w:jc w:val="both"/>
        <w:rPr>
          <w:rFonts w:ascii="宋体" w:hAnsi="宋体" w:eastAsia="宋体" w:cs="宋体"/>
          <w:color w:val="auto"/>
          <w:spacing w:val="-2"/>
          <w:sz w:val="18"/>
          <w:highlight w:val="none"/>
        </w:rPr>
      </w:pPr>
    </w:p>
    <w:p>
      <w:pPr>
        <w:pageBreakBefore w:val="0"/>
        <w:kinsoku/>
        <w:wordWrap/>
        <w:overflowPunct/>
        <w:topLinePunct w:val="0"/>
        <w:bidi w:val="0"/>
        <w:adjustRightInd w:val="0"/>
        <w:snapToGrid w:val="0"/>
        <w:spacing w:beforeAutospacing="0" w:afterAutospacing="0" w:line="240" w:lineRule="auto"/>
        <w:jc w:val="both"/>
        <w:rPr>
          <w:rFonts w:ascii="宋体" w:hAnsi="宋体" w:eastAsia="宋体" w:cs="宋体"/>
          <w:color w:val="auto"/>
          <w:spacing w:val="-2"/>
          <w:sz w:val="18"/>
          <w:highlight w:val="none"/>
        </w:rPr>
      </w:pPr>
    </w:p>
    <w:p>
      <w:pPr>
        <w:pageBreakBefore w:val="0"/>
        <w:kinsoku/>
        <w:wordWrap/>
        <w:overflowPunct/>
        <w:topLinePunct w:val="0"/>
        <w:bidi w:val="0"/>
        <w:adjustRightInd w:val="0"/>
        <w:snapToGrid w:val="0"/>
        <w:spacing w:beforeAutospacing="0" w:afterAutospacing="0" w:line="240" w:lineRule="auto"/>
        <w:jc w:val="both"/>
        <w:rPr>
          <w:rFonts w:ascii="宋体" w:hAnsi="宋体" w:eastAsia="宋体" w:cs="宋体"/>
          <w:color w:val="auto"/>
          <w:spacing w:val="-2"/>
          <w:sz w:val="18"/>
          <w:highlight w:val="none"/>
        </w:rPr>
      </w:pPr>
      <w:r>
        <w:rPr>
          <w:rFonts w:ascii="宋体" w:hAnsi="宋体" w:eastAsia="宋体" w:cs="宋体"/>
          <w:color w:val="auto"/>
          <w:spacing w:val="-2"/>
          <w:sz w:val="18"/>
          <w:highlight w:val="none"/>
        </w:rPr>
        <w:t>说明：本表适用于建设项目</w:t>
      </w:r>
      <w:r>
        <w:rPr>
          <w:rFonts w:hint="eastAsia" w:ascii="宋体" w:hAnsi="宋体" w:cs="宋体"/>
          <w:color w:val="auto"/>
          <w:spacing w:val="-2"/>
          <w:sz w:val="18"/>
          <w:highlight w:val="none"/>
          <w:lang w:eastAsia="zh-CN"/>
        </w:rPr>
        <w:t>磋商报价</w:t>
      </w:r>
      <w:r>
        <w:rPr>
          <w:rFonts w:ascii="宋体" w:hAnsi="宋体" w:eastAsia="宋体" w:cs="宋体"/>
          <w:color w:val="auto"/>
          <w:spacing w:val="-2"/>
          <w:sz w:val="18"/>
          <w:highlight w:val="none"/>
        </w:rPr>
        <w:t>的汇总。暂估价包括分部分项工程中的材料、设备暂估价和专业工程暂估价。</w:t>
      </w: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pacing w:val="-2"/>
          <w:sz w:val="18"/>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8"/>
        <w:gridCol w:w="2538"/>
        <w:gridCol w:w="2419"/>
        <w:gridCol w:w="1181"/>
        <w:gridCol w:w="85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0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（二）</w:t>
            </w:r>
            <w:r>
              <w:rPr>
                <w:rFonts w:hint="eastAsia" w:ascii="宋体" w:hAnsi="宋体" w:eastAsia="宋体" w:cs="宋体"/>
                <w:b/>
                <w:i w:val="0"/>
                <w:color w:val="auto"/>
                <w:kern w:val="0"/>
                <w:sz w:val="32"/>
                <w:szCs w:val="32"/>
                <w:highlight w:val="none"/>
                <w:u w:val="none"/>
                <w:lang w:val="en-US" w:eastAsia="zh-CN" w:bidi="ar"/>
              </w:rPr>
              <w:t>单项工程投标报价汇总表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75" w:type="dxa"/>
            <w:gridSpan w:val="3"/>
            <w:tcBorders>
              <w:bottom w:val="single" w:color="000000" w:sz="12" w:space="0"/>
            </w:tcBorders>
            <w:noWrap w:val="0"/>
            <w:vAlign w:val="center"/>
          </w:tcPr>
          <w:p>
            <w:pPr>
              <w:keepNext w:val="0"/>
              <w:keepLines w:val="0"/>
              <w:pageBreakBefore w:val="0"/>
              <w:widowControl/>
              <w:suppressLineNumbers w:val="0"/>
              <w:tabs>
                <w:tab w:val="right" w:pos="5745"/>
              </w:tabs>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181"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950"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vMerge w:val="restart"/>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538"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单位工程名称</w:t>
            </w:r>
          </w:p>
        </w:tc>
        <w:tc>
          <w:tcPr>
            <w:tcW w:w="3600" w:type="dxa"/>
            <w:gridSpan w:val="2"/>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c>
          <w:tcPr>
            <w:tcW w:w="1950" w:type="dxa"/>
            <w:gridSpan w:val="2"/>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vMerge w:val="continue"/>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2538"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3600"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暂估价</w:t>
            </w:r>
          </w:p>
        </w:tc>
        <w:tc>
          <w:tcPr>
            <w:tcW w:w="1100" w:type="dxa"/>
            <w:tcBorders>
              <w:top w:val="single" w:color="000000" w:sz="4"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不可竞争费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bookmarkStart w:id="366" w:name="_Toc17215709"/>
      <w:bookmarkStart w:id="367" w:name="_Toc44996371"/>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0"/>
        <w:gridCol w:w="3076"/>
        <w:gridCol w:w="1485"/>
        <w:gridCol w:w="265"/>
        <w:gridCol w:w="1273"/>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5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三</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626"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273"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957"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00"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3076"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汇总内容</w:t>
            </w:r>
          </w:p>
        </w:tc>
        <w:tc>
          <w:tcPr>
            <w:tcW w:w="148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c>
          <w:tcPr>
            <w:tcW w:w="3495" w:type="dxa"/>
            <w:gridSpan w:val="3"/>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其中：材料、设备暂估价（元）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分部分项工程费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措施项目费</w:t>
            </w:r>
          </w:p>
        </w:tc>
        <w:tc>
          <w:tcPr>
            <w:tcW w:w="1485" w:type="dxa"/>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485" w:type="dxa"/>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485" w:type="dxa"/>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不可竞争费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安全文明施工费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环境保护税</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其他项目</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暂列金额</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专业工程暂估价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计日工</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4.4</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总承包服务费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税金</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876"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工程造价=1+2+3+4+5</w:t>
            </w:r>
          </w:p>
        </w:tc>
        <w:tc>
          <w:tcPr>
            <w:tcW w:w="14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2"/>
        <w:gridCol w:w="984"/>
        <w:gridCol w:w="1005"/>
        <w:gridCol w:w="930"/>
        <w:gridCol w:w="1005"/>
        <w:gridCol w:w="885"/>
        <w:gridCol w:w="615"/>
        <w:gridCol w:w="361"/>
        <w:gridCol w:w="374"/>
        <w:gridCol w:w="560"/>
        <w:gridCol w:w="100"/>
        <w:gridCol w:w="85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51" w:type="dxa"/>
            <w:gridSpan w:val="13"/>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357" w:type="dxa"/>
            <w:gridSpan w:val="8"/>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34"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66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572" w:type="dxa"/>
            <w:vMerge w:val="restart"/>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984"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项目编码</w:t>
            </w:r>
          </w:p>
        </w:tc>
        <w:tc>
          <w:tcPr>
            <w:tcW w:w="1005"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930"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项目特征描述</w:t>
            </w:r>
          </w:p>
        </w:tc>
        <w:tc>
          <w:tcPr>
            <w:tcW w:w="1005"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计量</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单位</w:t>
            </w:r>
          </w:p>
        </w:tc>
        <w:tc>
          <w:tcPr>
            <w:tcW w:w="885"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工程量</w:t>
            </w:r>
          </w:p>
        </w:tc>
        <w:tc>
          <w:tcPr>
            <w:tcW w:w="3570" w:type="dxa"/>
            <w:gridSpan w:val="7"/>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572" w:type="dxa"/>
            <w:vMerge w:val="continue"/>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84"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30"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88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综合单价</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合价</w:t>
            </w:r>
          </w:p>
        </w:tc>
        <w:tc>
          <w:tcPr>
            <w:tcW w:w="2220" w:type="dxa"/>
            <w:gridSpan w:val="4"/>
            <w:tcBorders>
              <w:top w:val="single" w:color="000000" w:sz="4"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72" w:type="dxa"/>
            <w:vMerge w:val="continue"/>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84"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30"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88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人工费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机械费</w:t>
            </w:r>
          </w:p>
        </w:tc>
        <w:tc>
          <w:tcPr>
            <w:tcW w:w="705" w:type="dxa"/>
            <w:tcBorders>
              <w:top w:val="single" w:color="000000" w:sz="4"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3"/>
        <w:gridCol w:w="348"/>
        <w:gridCol w:w="552"/>
        <w:gridCol w:w="608"/>
        <w:gridCol w:w="144"/>
        <w:gridCol w:w="465"/>
        <w:gridCol w:w="566"/>
        <w:gridCol w:w="205"/>
        <w:gridCol w:w="377"/>
        <w:gridCol w:w="268"/>
        <w:gridCol w:w="70"/>
        <w:gridCol w:w="672"/>
        <w:gridCol w:w="653"/>
        <w:gridCol w:w="540"/>
        <w:gridCol w:w="135"/>
        <w:gridCol w:w="270"/>
        <w:gridCol w:w="435"/>
        <w:gridCol w:w="420"/>
        <w:gridCol w:w="7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8871" w:type="dxa"/>
            <w:gridSpan w:val="20"/>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1"/>
                <w:szCs w:val="31"/>
                <w:highlight w:val="none"/>
                <w:u w:val="none"/>
              </w:rPr>
            </w:pPr>
            <w:r>
              <w:rPr>
                <w:rFonts w:hint="eastAsia" w:ascii="宋体" w:hAnsi="宋体" w:eastAsia="宋体" w:cs="宋体"/>
                <w:b/>
                <w:i w:val="0"/>
                <w:color w:val="auto"/>
                <w:kern w:val="0"/>
                <w:sz w:val="31"/>
                <w:szCs w:val="31"/>
                <w:highlight w:val="none"/>
                <w:u w:val="none"/>
                <w:lang w:val="en-US" w:eastAsia="zh-CN" w:bidi="ar"/>
              </w:rPr>
              <w:t>分部分项工程量清单综合单价分析表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3056" w:type="dxa"/>
            <w:gridSpan w:val="7"/>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20"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4895" w:type="dxa"/>
            <w:gridSpan w:val="9"/>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21" w:type="dxa"/>
            <w:gridSpan w:val="2"/>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项目编码</w:t>
            </w:r>
          </w:p>
        </w:tc>
        <w:tc>
          <w:tcPr>
            <w:tcW w:w="552"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752"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项目名称</w:t>
            </w:r>
          </w:p>
        </w:tc>
        <w:tc>
          <w:tcPr>
            <w:tcW w:w="1613" w:type="dxa"/>
            <w:gridSpan w:val="4"/>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010"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计量单位</w:t>
            </w:r>
          </w:p>
        </w:tc>
        <w:tc>
          <w:tcPr>
            <w:tcW w:w="1193"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260" w:type="dxa"/>
            <w:gridSpan w:val="4"/>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工程量</w:t>
            </w:r>
          </w:p>
        </w:tc>
        <w:tc>
          <w:tcPr>
            <w:tcW w:w="1770" w:type="dxa"/>
            <w:gridSpan w:val="2"/>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871" w:type="dxa"/>
            <w:gridSpan w:val="20"/>
            <w:tcBorders>
              <w:top w:val="single" w:color="000000" w:sz="4" w:space="0"/>
              <w:left w:val="single" w:color="000000" w:sz="12"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 w:type="dxa"/>
            <w:vMerge w:val="restar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编码</w:t>
            </w:r>
          </w:p>
        </w:tc>
        <w:tc>
          <w:tcPr>
            <w:tcW w:w="9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定额项目名称</w:t>
            </w: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6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2811" w:type="dxa"/>
            <w:gridSpan w:val="7"/>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单价</w:t>
            </w:r>
          </w:p>
        </w:tc>
        <w:tc>
          <w:tcPr>
            <w:tcW w:w="3570" w:type="dxa"/>
            <w:gridSpan w:val="7"/>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373" w:type="dxa"/>
            <w:vMerge w:val="continue"/>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人工费</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材料费</w:t>
            </w: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机械费</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综合费</w:t>
            </w: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人工费</w:t>
            </w: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材料费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机械费</w:t>
            </w: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综合费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7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7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7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73" w:type="dxa"/>
            <w:gridSpan w:val="3"/>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人工单价</w:t>
            </w:r>
          </w:p>
        </w:tc>
        <w:tc>
          <w:tcPr>
            <w:tcW w:w="337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小计</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73" w:type="dxa"/>
            <w:gridSpan w:val="3"/>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（）元/工日</w:t>
            </w:r>
          </w:p>
        </w:tc>
        <w:tc>
          <w:tcPr>
            <w:tcW w:w="337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未计价材料费</w:t>
            </w:r>
          </w:p>
        </w:tc>
        <w:tc>
          <w:tcPr>
            <w:tcW w:w="4223" w:type="dxa"/>
            <w:gridSpan w:val="8"/>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48" w:type="dxa"/>
            <w:gridSpan w:val="1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清单项目综合单价</w:t>
            </w:r>
          </w:p>
        </w:tc>
        <w:tc>
          <w:tcPr>
            <w:tcW w:w="4223" w:type="dxa"/>
            <w:gridSpan w:val="8"/>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373" w:type="dxa"/>
            <w:vMerge w:val="restart"/>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材</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料</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费</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明</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细</w:t>
            </w: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主要材料名称、规格、型号</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单价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合价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暂估</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单价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暂估</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合价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427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其他材料费</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2190"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4275" w:type="dxa"/>
            <w:gridSpan w:val="11"/>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材料费小计</w:t>
            </w:r>
          </w:p>
        </w:tc>
        <w:tc>
          <w:tcPr>
            <w:tcW w:w="65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75"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05"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2190" w:type="dxa"/>
            <w:gridSpan w:val="3"/>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0"/>
        <w:gridCol w:w="1679"/>
        <w:gridCol w:w="2159"/>
        <w:gridCol w:w="601"/>
        <w:gridCol w:w="860"/>
        <w:gridCol w:w="862"/>
        <w:gridCol w:w="71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36"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379"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722"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835"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40"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167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项目编码</w:t>
            </w:r>
          </w:p>
        </w:tc>
        <w:tc>
          <w:tcPr>
            <w:tcW w:w="215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146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计算基础</w:t>
            </w:r>
          </w:p>
        </w:tc>
        <w:tc>
          <w:tcPr>
            <w:tcW w:w="1572"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12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811" w:type="dxa"/>
            <w:gridSpan w:val="7"/>
            <w:tcBorders>
              <w:top w:val="single" w:color="000000" w:sz="4" w:space="0"/>
              <w:left w:val="single" w:color="000000" w:sz="12"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合计</w:t>
            </w:r>
          </w:p>
        </w:tc>
        <w:tc>
          <w:tcPr>
            <w:tcW w:w="1125"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Style w:val="2"/>
        <w:rPr>
          <w:rFonts w:hint="eastAsia"/>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0"/>
        <w:gridCol w:w="1679"/>
        <w:gridCol w:w="2159"/>
        <w:gridCol w:w="601"/>
        <w:gridCol w:w="860"/>
        <w:gridCol w:w="862"/>
        <w:gridCol w:w="46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71" w:type="dxa"/>
            <w:gridSpan w:val="8"/>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不可竞争项目清单与计价表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379"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722"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770"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40"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167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项目编码</w:t>
            </w:r>
          </w:p>
        </w:tc>
        <w:tc>
          <w:tcPr>
            <w:tcW w:w="215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146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计算基础</w:t>
            </w:r>
          </w:p>
        </w:tc>
        <w:tc>
          <w:tcPr>
            <w:tcW w:w="1327"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30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环境保护费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文明施工费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安全施工费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临时设施费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环境保护税</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i w:val="0"/>
                <w:color w:val="auto"/>
                <w:sz w:val="21"/>
                <w:szCs w:val="21"/>
                <w:highlight w:val="none"/>
                <w:u w:val="none"/>
              </w:rPr>
            </w:pP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i w:val="0"/>
                <w:color w:val="auto"/>
                <w:sz w:val="21"/>
                <w:szCs w:val="21"/>
                <w:highlight w:val="none"/>
                <w:u w:val="none"/>
              </w:rPr>
            </w:pP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i w:val="0"/>
                <w:color w:val="auto"/>
                <w:sz w:val="21"/>
                <w:szCs w:val="21"/>
                <w:highlight w:val="none"/>
                <w:u w:val="none"/>
              </w:rPr>
            </w:pP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566" w:type="dxa"/>
            <w:gridSpan w:val="7"/>
            <w:tcBorders>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合   计</w:t>
            </w:r>
          </w:p>
        </w:tc>
        <w:tc>
          <w:tcPr>
            <w:tcW w:w="1305" w:type="dxa"/>
            <w:tcBorders>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5"/>
        <w:gridCol w:w="915"/>
        <w:gridCol w:w="2945"/>
        <w:gridCol w:w="2336"/>
        <w:gridCol w:w="1087"/>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51"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245"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3423"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283"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both"/>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00" w:type="dxa"/>
            <w:gridSpan w:val="2"/>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528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2370" w:type="dxa"/>
            <w:gridSpan w:val="2"/>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暂列金额</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专业工程暂估价</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计日工</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总承包服务费</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37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385" w:type="dxa"/>
            <w:tcBorders>
              <w:top w:val="single" w:color="auto" w:sz="4" w:space="0"/>
              <w:lef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Arial" w:hAnsi="Arial" w:cs="Arial"/>
                <w:i w:val="0"/>
                <w:color w:val="auto"/>
                <w:sz w:val="20"/>
                <w:szCs w:val="20"/>
                <w:highlight w:val="none"/>
                <w:u w:val="none"/>
              </w:rPr>
            </w:pPr>
          </w:p>
        </w:tc>
        <w:tc>
          <w:tcPr>
            <w:tcW w:w="915" w:type="dxa"/>
            <w:tcBorders>
              <w:top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2945" w:type="dxa"/>
            <w:tcBorders>
              <w:top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2336" w:type="dxa"/>
            <w:tcBorders>
              <w:top w:val="single" w:color="000000" w:sz="4" w:space="0"/>
              <w:righ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087" w:type="dxa"/>
            <w:tcBorders>
              <w:top w:val="single" w:color="000000" w:sz="4" w:space="0"/>
              <w:lef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283" w:type="dxa"/>
            <w:tcBorders>
              <w:top w:val="single" w:color="000000" w:sz="4" w:space="0"/>
              <w:righ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81" w:type="dxa"/>
            <w:gridSpan w:val="4"/>
            <w:tcBorders>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2370" w:type="dxa"/>
            <w:gridSpan w:val="2"/>
            <w:tcBorders>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4"/>
        <w:gridCol w:w="3435"/>
        <w:gridCol w:w="1470"/>
        <w:gridCol w:w="974"/>
        <w:gridCol w:w="488"/>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8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八</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879"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74"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2033"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74"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343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147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1462"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暂定金额(元)</w:t>
            </w:r>
          </w:p>
        </w:tc>
        <w:tc>
          <w:tcPr>
            <w:tcW w:w="154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879" w:type="dxa"/>
            <w:gridSpan w:val="3"/>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462"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12" w:space="0"/>
              <w:right w:val="single" w:color="000000" w:sz="12"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bookmarkEnd w:id="366"/>
      <w:bookmarkEnd w:id="367"/>
    </w:tbl>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8"/>
        <w:gridCol w:w="68"/>
        <w:gridCol w:w="2345"/>
        <w:gridCol w:w="130"/>
        <w:gridCol w:w="1149"/>
        <w:gridCol w:w="995"/>
        <w:gridCol w:w="216"/>
        <w:gridCol w:w="38"/>
        <w:gridCol w:w="941"/>
        <w:gridCol w:w="356"/>
        <w:gridCol w:w="775"/>
        <w:gridCol w:w="945"/>
        <w:gridCol w:w="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21" w:type="dxa"/>
            <w:gridSpan w:val="13"/>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九</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专业工程暂估价计价表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620" w:type="dxa"/>
            <w:gridSpan w:val="5"/>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2546" w:type="dxa"/>
            <w:gridSpan w:val="5"/>
            <w:tcBorders>
              <w:bottom w:val="single" w:color="000000" w:sz="12" w:space="0"/>
            </w:tcBorders>
            <w:noWrap w:val="0"/>
            <w:vAlign w:val="center"/>
          </w:tcPr>
          <w:p>
            <w:pPr>
              <w:keepNext w:val="0"/>
              <w:keepLines w:val="0"/>
              <w:pageBreakBefore w:val="0"/>
              <w:widowControl/>
              <w:suppressLineNumbers w:val="0"/>
              <w:tabs>
                <w:tab w:val="right" w:pos="3718"/>
              </w:tabs>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755"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both"/>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28"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413"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2490" w:type="dxa"/>
            <w:gridSpan w:val="4"/>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工程内容</w:t>
            </w:r>
          </w:p>
        </w:tc>
        <w:tc>
          <w:tcPr>
            <w:tcW w:w="1335" w:type="dxa"/>
            <w:gridSpan w:val="3"/>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c>
          <w:tcPr>
            <w:tcW w:w="1755" w:type="dxa"/>
            <w:gridSpan w:val="3"/>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831" w:type="dxa"/>
            <w:gridSpan w:val="7"/>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335" w:type="dxa"/>
            <w:gridSpan w:val="3"/>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12" w:space="0"/>
              <w:right w:val="single" w:color="000000" w:sz="12"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690" w:hRule="atLeast"/>
        </w:trPr>
        <w:tc>
          <w:tcPr>
            <w:tcW w:w="8886" w:type="dxa"/>
            <w:gridSpan w:val="12"/>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bookmarkStart w:id="368" w:name="_Toc171581556"/>
            <w:bookmarkStart w:id="369" w:name="_Toc171741999"/>
            <w:bookmarkStart w:id="370" w:name="_Toc17215710"/>
            <w:bookmarkStart w:id="371" w:name="_Toc44996372"/>
            <w:bookmarkStart w:id="372" w:name="_Toc171581376"/>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both"/>
              <w:textAlignment w:val="center"/>
              <w:rPr>
                <w:rFonts w:hint="eastAsia" w:ascii="宋体" w:hAnsi="宋体" w:eastAsia="宋体" w:cs="宋体"/>
                <w:color w:val="auto"/>
                <w:sz w:val="32"/>
                <w:szCs w:val="32"/>
                <w:highlight w:val="none"/>
                <w:lang w:eastAsia="zh-CN"/>
              </w:rPr>
            </w:pPr>
          </w:p>
          <w:p>
            <w:pPr>
              <w:pStyle w:val="2"/>
              <w:rPr>
                <w:rFonts w:hint="eastAsia" w:ascii="宋体" w:hAnsi="宋体" w:eastAsia="宋体" w:cs="宋体"/>
                <w:color w:val="auto"/>
                <w:sz w:val="32"/>
                <w:szCs w:val="32"/>
                <w:highlight w:val="none"/>
                <w:lang w:eastAsia="zh-CN"/>
              </w:rPr>
            </w:pPr>
          </w:p>
          <w:p>
            <w:pPr>
              <w:pStyle w:val="2"/>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b/>
                <w:i w:val="0"/>
                <w:color w:val="auto"/>
                <w:kern w:val="0"/>
                <w:sz w:val="32"/>
                <w:szCs w:val="32"/>
                <w:highlight w:val="none"/>
                <w:u w:val="none"/>
                <w:lang w:val="en-US" w:eastAsia="zh-CN" w:bidi="ar"/>
              </w:rPr>
              <w:t xml:space="preserve"> 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5869" w:type="dxa"/>
            <w:gridSpan w:val="8"/>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41"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2076"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690" w:hRule="atLeast"/>
        </w:trPr>
        <w:tc>
          <w:tcPr>
            <w:tcW w:w="996" w:type="dxa"/>
            <w:gridSpan w:val="2"/>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编码</w:t>
            </w:r>
          </w:p>
        </w:tc>
        <w:tc>
          <w:tcPr>
            <w:tcW w:w="2475"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2144"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单位</w:t>
            </w:r>
          </w:p>
        </w:tc>
        <w:tc>
          <w:tcPr>
            <w:tcW w:w="1195" w:type="dxa"/>
            <w:gridSpan w:val="3"/>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13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综合单价</w:t>
            </w:r>
          </w:p>
        </w:tc>
        <w:tc>
          <w:tcPr>
            <w:tcW w:w="94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人工</w:t>
            </w:r>
          </w:p>
        </w:tc>
        <w:tc>
          <w:tcPr>
            <w:tcW w:w="2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7941" w:type="dxa"/>
            <w:gridSpan w:val="11"/>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人工费小计</w:t>
            </w: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材料</w:t>
            </w:r>
          </w:p>
        </w:tc>
        <w:tc>
          <w:tcPr>
            <w:tcW w:w="2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1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7941" w:type="dxa"/>
            <w:gridSpan w:val="11"/>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材料费小计</w:t>
            </w: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施工机械</w:t>
            </w:r>
          </w:p>
        </w:tc>
        <w:tc>
          <w:tcPr>
            <w:tcW w:w="2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7941" w:type="dxa"/>
            <w:gridSpan w:val="11"/>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施工机械费小计</w:t>
            </w:r>
          </w:p>
        </w:tc>
        <w:tc>
          <w:tcPr>
            <w:tcW w:w="945" w:type="dxa"/>
            <w:tcBorders>
              <w:top w:val="single" w:color="000000" w:sz="4" w:space="0"/>
              <w:left w:val="single" w:color="000000" w:sz="4" w:space="0"/>
              <w:bottom w:val="single" w:color="auto"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450" w:hRule="atLeast"/>
        </w:trPr>
        <w:tc>
          <w:tcPr>
            <w:tcW w:w="7941" w:type="dxa"/>
            <w:gridSpan w:val="11"/>
            <w:tcBorders>
              <w:left w:val="single" w:color="auto"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     计</w:t>
            </w:r>
          </w:p>
        </w:tc>
        <w:tc>
          <w:tcPr>
            <w:tcW w:w="945" w:type="dxa"/>
            <w:tcBorders>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Style w:val="2"/>
        <w:rPr>
          <w:rFonts w:hint="eastAsia" w:ascii="宋体" w:hAnsi="宋体" w:eastAsia="宋体" w:cs="宋体"/>
          <w:color w:val="auto"/>
          <w:sz w:val="32"/>
          <w:szCs w:val="32"/>
          <w:highlight w:val="none"/>
          <w:lang w:eastAsia="zh-CN"/>
        </w:rPr>
      </w:pPr>
    </w:p>
    <w:p>
      <w:pPr>
        <w:pStyle w:val="2"/>
        <w:rPr>
          <w:rFonts w:hint="eastAsia" w:ascii="宋体" w:hAnsi="宋体" w:eastAsia="宋体" w:cs="宋体"/>
          <w:color w:val="auto"/>
          <w:sz w:val="32"/>
          <w:szCs w:val="32"/>
          <w:highlight w:val="none"/>
          <w:lang w:eastAsia="zh-CN"/>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6"/>
        <w:gridCol w:w="2247"/>
        <w:gridCol w:w="1458"/>
        <w:gridCol w:w="1245"/>
        <w:gridCol w:w="108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0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b/>
                <w:i w:val="0"/>
                <w:color w:val="auto"/>
                <w:kern w:val="0"/>
                <w:sz w:val="32"/>
                <w:szCs w:val="32"/>
                <w:highlight w:val="none"/>
                <w:u w:val="none"/>
                <w:lang w:val="en-US" w:eastAsia="zh-CN" w:bidi="ar"/>
              </w:rPr>
              <w:t xml:space="preserve"> 总承包服务费计价表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846"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080"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980"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6"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247"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458"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项目价值(元)</w:t>
            </w:r>
          </w:p>
        </w:tc>
        <w:tc>
          <w:tcPr>
            <w:tcW w:w="124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服务内容</w:t>
            </w:r>
          </w:p>
        </w:tc>
        <w:tc>
          <w:tcPr>
            <w:tcW w:w="108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98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发包人发包专业工程</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发包人供应材料</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96" w:type="dxa"/>
            <w:tcBorders>
              <w:top w:val="single" w:color="000000" w:sz="4" w:space="0"/>
              <w:left w:val="single" w:color="000000" w:sz="12"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458" w:type="dxa"/>
            <w:tcBorders>
              <w:top w:val="single" w:color="000000" w:sz="4" w:space="0"/>
              <w:left w:val="single" w:color="000000" w:sz="4"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Style w:val="2"/>
        <w:rPr>
          <w:rFonts w:hint="eastAsia"/>
        </w:rPr>
      </w:pPr>
    </w:p>
    <w:bookmarkEnd w:id="368"/>
    <w:bookmarkEnd w:id="369"/>
    <w:bookmarkEnd w:id="370"/>
    <w:bookmarkEnd w:id="371"/>
    <w:bookmarkEnd w:id="372"/>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9"/>
        <w:gridCol w:w="1320"/>
        <w:gridCol w:w="141"/>
        <w:gridCol w:w="3281"/>
        <w:gridCol w:w="938"/>
        <w:gridCol w:w="1302"/>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01" w:type="dxa"/>
            <w:gridSpan w:val="7"/>
            <w:noWrap w:val="0"/>
            <w:vAlign w:val="center"/>
          </w:tcPr>
          <w:p>
            <w:pPr>
              <w:keepNext w:val="0"/>
              <w:keepLines w:val="0"/>
              <w:pageBreakBefore w:val="0"/>
              <w:suppressLineNumbers w:val="0"/>
              <w:tabs>
                <w:tab w:val="left" w:pos="0"/>
              </w:tabs>
              <w:kinsoku/>
              <w:wordWrap/>
              <w:overflowPunct/>
              <w:topLinePunct w:val="0"/>
              <w:bidi w:val="0"/>
              <w:spacing w:before="0" w:beforeAutospacing="0" w:after="0" w:afterAutospacing="0" w:line="240" w:lineRule="auto"/>
              <w:ind w:left="0" w:right="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(十</w:t>
            </w: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税金计价表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15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3281"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347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89"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132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3422"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计算基础</w:t>
            </w:r>
          </w:p>
        </w:tc>
        <w:tc>
          <w:tcPr>
            <w:tcW w:w="938"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计算基数</w:t>
            </w:r>
          </w:p>
        </w:tc>
        <w:tc>
          <w:tcPr>
            <w:tcW w:w="130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23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增值税</w:t>
            </w: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分部分项工程费+措施项目费+不可竞争费+其他项目费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7671" w:type="dxa"/>
            <w:gridSpan w:val="6"/>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230"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both"/>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Style w:val="2"/>
        <w:rPr>
          <w:rFonts w:hint="eastAsia"/>
          <w:lang w:eastAsia="zh-CN"/>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55"/>
        <w:gridCol w:w="4152"/>
        <w:gridCol w:w="1155"/>
        <w:gridCol w:w="1003"/>
        <w:gridCol w:w="121"/>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46" w:type="dxa"/>
            <w:gridSpan w:val="6"/>
            <w:noWrap w:val="0"/>
            <w:vAlign w:val="center"/>
          </w:tcPr>
          <w:p>
            <w:pPr>
              <w:pStyle w:val="6"/>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kern w:val="0"/>
                <w:sz w:val="32"/>
                <w:szCs w:val="32"/>
                <w:highlight w:val="none"/>
                <w:lang w:eastAsia="zh-CN"/>
              </w:rPr>
              <w:t>（十三）</w:t>
            </w:r>
            <w:r>
              <w:rPr>
                <w:rFonts w:hint="eastAsia" w:ascii="宋体" w:hAnsi="宋体" w:eastAsia="宋体" w:cs="宋体"/>
                <w:b/>
                <w:i w:val="0"/>
                <w:color w:val="auto"/>
                <w:kern w:val="0"/>
                <w:sz w:val="32"/>
                <w:szCs w:val="32"/>
                <w:highlight w:val="none"/>
                <w:u w:val="none"/>
                <w:lang w:val="en-US" w:eastAsia="zh-CN" w:bidi="ar"/>
              </w:rPr>
              <w:t xml:space="preserve"> 材料（工程设备）暂估单价一览表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62"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003"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381"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55"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415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材料(工程设备)名称、规格、型号</w:t>
            </w:r>
          </w:p>
        </w:tc>
        <w:tc>
          <w:tcPr>
            <w:tcW w:w="115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1124"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26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1"/>
        <w:gridCol w:w="2562"/>
        <w:gridCol w:w="731"/>
        <w:gridCol w:w="687"/>
        <w:gridCol w:w="980"/>
        <w:gridCol w:w="1335"/>
        <w:gridCol w:w="103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16" w:type="dxa"/>
            <w:gridSpan w:val="8"/>
            <w:noWrap w:val="0"/>
            <w:vAlign w:val="center"/>
          </w:tcPr>
          <w:p>
            <w:pPr>
              <w:pStyle w:val="6"/>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i w:val="0"/>
                <w:color w:val="auto"/>
                <w:sz w:val="32"/>
                <w:szCs w:val="32"/>
                <w:highlight w:val="none"/>
                <w:u w:val="none"/>
              </w:rPr>
            </w:pPr>
            <w:r>
              <w:rPr>
                <w:rFonts w:hint="eastAsia" w:ascii="宋体" w:hAnsi="宋体" w:eastAsia="宋体" w:cs="宋体"/>
                <w:smallCaps/>
                <w:color w:val="auto"/>
                <w:sz w:val="32"/>
                <w:szCs w:val="32"/>
                <w:highlight w:val="none"/>
              </w:rPr>
              <w:t>(十</w:t>
            </w:r>
            <w:r>
              <w:rPr>
                <w:rFonts w:hint="eastAsia" w:ascii="宋体" w:hAnsi="宋体" w:eastAsia="宋体" w:cs="宋体"/>
                <w:smallCaps/>
                <w:color w:val="auto"/>
                <w:sz w:val="32"/>
                <w:szCs w:val="32"/>
                <w:highlight w:val="none"/>
                <w:lang w:eastAsia="zh-CN"/>
              </w:rPr>
              <w:t>四</w:t>
            </w:r>
            <w:r>
              <w:rPr>
                <w:rFonts w:hint="eastAsia" w:ascii="宋体" w:hAnsi="宋体" w:eastAsia="宋体" w:cs="宋体"/>
                <w:smallCaps/>
                <w:color w:val="auto"/>
                <w:sz w:val="32"/>
                <w:szCs w:val="32"/>
                <w:highlight w:val="none"/>
              </w:rPr>
              <w:t>)</w:t>
            </w:r>
            <w:r>
              <w:rPr>
                <w:rFonts w:hint="eastAsia" w:ascii="宋体" w:hAnsi="宋体" w:eastAsia="宋体" w:cs="宋体"/>
                <w:smallCaps/>
                <w:color w:val="auto"/>
                <w:sz w:val="32"/>
                <w:szCs w:val="32"/>
                <w:highlight w:val="none"/>
                <w:lang w:val="en-US" w:eastAsia="zh-CN"/>
              </w:rPr>
              <w:t xml:space="preserve">  </w:t>
            </w:r>
            <w:r>
              <w:rPr>
                <w:rFonts w:hint="eastAsia" w:ascii="宋体" w:hAnsi="宋体" w:eastAsia="宋体" w:cs="宋体"/>
                <w:b/>
                <w:i w:val="0"/>
                <w:color w:val="auto"/>
                <w:kern w:val="0"/>
                <w:sz w:val="32"/>
                <w:szCs w:val="32"/>
                <w:highlight w:val="none"/>
                <w:u w:val="none"/>
                <w:lang w:val="en-US" w:eastAsia="zh-CN" w:bidi="ar"/>
              </w:rPr>
              <w:t>发包人提供材料（工程设备）一览表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711"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80"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3225"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731"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56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材料(工程设备)名称、规格、型号</w:t>
            </w:r>
          </w:p>
        </w:tc>
        <w:tc>
          <w:tcPr>
            <w:tcW w:w="73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1667"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33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单价(元)</w:t>
            </w:r>
          </w:p>
        </w:tc>
        <w:tc>
          <w:tcPr>
            <w:tcW w:w="103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合价(元)</w:t>
            </w:r>
          </w:p>
        </w:tc>
        <w:tc>
          <w:tcPr>
            <w:tcW w:w="85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bl>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r>
        <w:rPr>
          <w:rFonts w:hint="eastAsia" w:ascii="宋体" w:hAnsi="宋体" w:eastAsia="宋体" w:cs="宋体"/>
          <w:smallCaps/>
          <w:color w:val="auto"/>
          <w:sz w:val="32"/>
          <w:szCs w:val="32"/>
          <w:highlight w:val="none"/>
          <w:lang w:val="en-US" w:eastAsia="zh-CN"/>
        </w:rPr>
        <w:t xml:space="preserve">    </w:t>
      </w: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2"/>
        <w:gridCol w:w="2001"/>
        <w:gridCol w:w="701"/>
        <w:gridCol w:w="996"/>
        <w:gridCol w:w="577"/>
        <w:gridCol w:w="1034"/>
        <w:gridCol w:w="1125"/>
        <w:gridCol w:w="111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91" w:type="dxa"/>
            <w:gridSpan w:val="9"/>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smallCaps/>
                <w:color w:val="auto"/>
                <w:sz w:val="32"/>
                <w:szCs w:val="32"/>
                <w:highlight w:val="none"/>
              </w:rPr>
              <w:t>(十</w:t>
            </w:r>
            <w:r>
              <w:rPr>
                <w:rFonts w:hint="eastAsia" w:ascii="宋体" w:hAnsi="宋体" w:eastAsia="宋体" w:cs="宋体"/>
                <w:smallCaps/>
                <w:color w:val="auto"/>
                <w:sz w:val="32"/>
                <w:szCs w:val="32"/>
                <w:highlight w:val="none"/>
                <w:lang w:eastAsia="zh-CN"/>
              </w:rPr>
              <w:t>五</w:t>
            </w:r>
            <w:r>
              <w:rPr>
                <w:rFonts w:hint="eastAsia" w:ascii="宋体" w:hAnsi="宋体" w:eastAsia="宋体" w:cs="宋体"/>
                <w:smallCaps/>
                <w:color w:val="auto"/>
                <w:sz w:val="32"/>
                <w:szCs w:val="32"/>
                <w:highlight w:val="none"/>
              </w:rPr>
              <w:t>)</w:t>
            </w:r>
            <w:r>
              <w:rPr>
                <w:rFonts w:hint="eastAsia" w:ascii="宋体" w:hAnsi="宋体" w:eastAsia="宋体" w:cs="宋体"/>
                <w:smallCaps/>
                <w:color w:val="auto"/>
                <w:sz w:val="32"/>
                <w:szCs w:val="32"/>
                <w:highlight w:val="none"/>
                <w:lang w:val="en-US" w:eastAsia="zh-CN"/>
              </w:rPr>
              <w:t xml:space="preserve"> </w:t>
            </w:r>
            <w:r>
              <w:rPr>
                <w:rFonts w:hint="eastAsia" w:ascii="宋体" w:hAnsi="宋体" w:eastAsia="宋体" w:cs="宋体"/>
                <w:b/>
                <w:i w:val="0"/>
                <w:color w:val="auto"/>
                <w:kern w:val="0"/>
                <w:sz w:val="32"/>
                <w:szCs w:val="32"/>
                <w:highlight w:val="none"/>
                <w:u w:val="none"/>
                <w:lang w:val="en-US" w:eastAsia="zh-CN" w:bidi="ar"/>
              </w:rPr>
              <w:t xml:space="preserve"> 承包人提供材料（工程设备）一览表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887" w:type="dxa"/>
            <w:gridSpan w:val="5"/>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034"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297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612"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00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材料（工程设备）名称、规格、型号</w:t>
            </w:r>
          </w:p>
        </w:tc>
        <w:tc>
          <w:tcPr>
            <w:tcW w:w="70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996"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61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风险系数(%)</w:t>
            </w:r>
          </w:p>
        </w:tc>
        <w:tc>
          <w:tcPr>
            <w:tcW w:w="112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基准单价</w:t>
            </w:r>
          </w:p>
        </w:tc>
        <w:tc>
          <w:tcPr>
            <w:tcW w:w="111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投标单价</w:t>
            </w:r>
          </w:p>
        </w:tc>
        <w:tc>
          <w:tcPr>
            <w:tcW w:w="73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bl>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both"/>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smallCaps/>
          <w:color w:val="auto"/>
          <w:sz w:val="32"/>
          <w:szCs w:val="32"/>
          <w:highlight w:val="none"/>
        </w:rPr>
        <w:t>(十</w:t>
      </w:r>
      <w:r>
        <w:rPr>
          <w:rFonts w:hint="eastAsia" w:ascii="宋体" w:hAnsi="宋体" w:eastAsia="宋体" w:cs="宋体"/>
          <w:smallCaps/>
          <w:color w:val="auto"/>
          <w:sz w:val="32"/>
          <w:szCs w:val="32"/>
          <w:highlight w:val="none"/>
          <w:lang w:eastAsia="zh-CN"/>
        </w:rPr>
        <w:t>六</w:t>
      </w:r>
      <w:r>
        <w:rPr>
          <w:rFonts w:hint="eastAsia" w:ascii="宋体" w:hAnsi="宋体" w:eastAsia="宋体" w:cs="宋体"/>
          <w:smallCaps/>
          <w:color w:val="auto"/>
          <w:sz w:val="32"/>
          <w:szCs w:val="32"/>
          <w:highlight w:val="none"/>
        </w:rPr>
        <w:t>)</w:t>
      </w:r>
      <w:r>
        <w:rPr>
          <w:rFonts w:hint="eastAsia" w:hAnsi="宋体" w:cs="宋体"/>
          <w:b/>
          <w:bCs/>
          <w:smallCaps/>
          <w:color w:val="auto"/>
          <w:sz w:val="32"/>
          <w:szCs w:val="32"/>
          <w:highlight w:val="none"/>
          <w:lang w:val="en-US" w:eastAsia="zh-CN"/>
        </w:rPr>
        <w:t>磋商</w:t>
      </w:r>
      <w:r>
        <w:rPr>
          <w:rFonts w:hint="eastAsia" w:hAnsi="宋体" w:cs="宋体"/>
          <w:b/>
          <w:bCs/>
          <w:smallCaps/>
          <w:color w:val="auto"/>
          <w:sz w:val="32"/>
          <w:szCs w:val="32"/>
          <w:highlight w:val="none"/>
          <w:lang w:eastAsia="zh-CN"/>
        </w:rPr>
        <w:t>报价</w:t>
      </w:r>
      <w:r>
        <w:rPr>
          <w:rFonts w:hint="eastAsia" w:ascii="宋体" w:hAnsi="宋体" w:eastAsia="宋体" w:cs="宋体"/>
          <w:b/>
          <w:bCs/>
          <w:color w:val="auto"/>
          <w:sz w:val="32"/>
          <w:szCs w:val="32"/>
          <w:highlight w:val="none"/>
        </w:rPr>
        <w:t>需要说明的其他资料</w:t>
      </w:r>
    </w:p>
    <w:p>
      <w:pPr>
        <w:spacing w:line="360" w:lineRule="auto"/>
        <w:ind w:firstLine="480" w:firstLineChars="200"/>
        <w:rPr>
          <w:rFonts w:ascii="宋体" w:cs="宋体"/>
          <w:szCs w:val="21"/>
          <w:highlight w:val="none"/>
        </w:rPr>
      </w:pP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认为需对其</w:t>
      </w:r>
      <w:r>
        <w:rPr>
          <w:rFonts w:hint="eastAsia" w:hAnsi="宋体" w:cs="宋体"/>
          <w:color w:val="auto"/>
          <w:sz w:val="24"/>
          <w:highlight w:val="none"/>
          <w:lang w:val="en-US" w:eastAsia="zh-CN"/>
        </w:rPr>
        <w:t>磋商</w:t>
      </w:r>
      <w:r>
        <w:rPr>
          <w:rFonts w:hint="eastAsia" w:hAnsi="宋体" w:cs="宋体"/>
          <w:color w:val="auto"/>
          <w:sz w:val="24"/>
          <w:highlight w:val="none"/>
          <w:lang w:eastAsia="zh-CN"/>
        </w:rPr>
        <w:t>报价</w:t>
      </w:r>
      <w:r>
        <w:rPr>
          <w:rFonts w:hint="eastAsia" w:ascii="宋体" w:hAnsi="宋体" w:eastAsia="宋体" w:cs="宋体"/>
          <w:color w:val="auto"/>
          <w:sz w:val="24"/>
          <w:highlight w:val="none"/>
        </w:rPr>
        <w:t>进行其他补充说明及证明材料。</w:t>
      </w: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pStyle w:val="2"/>
        <w:rPr>
          <w:rFonts w:ascii="宋体" w:cs="宋体"/>
          <w:szCs w:val="21"/>
          <w:highlight w:val="none"/>
        </w:rPr>
      </w:pPr>
    </w:p>
    <w:p>
      <w:pPr>
        <w:pStyle w:val="2"/>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rPr>
          <w:rFonts w:ascii="宋体" w:cs="宋体"/>
          <w:szCs w:val="21"/>
          <w:highlight w:val="none"/>
        </w:rPr>
      </w:pPr>
    </w:p>
    <w:p>
      <w:pPr>
        <w:pStyle w:val="5"/>
        <w:jc w:val="center"/>
        <w:rPr>
          <w:rFonts w:cs="宋体"/>
          <w:sz w:val="28"/>
          <w:szCs w:val="28"/>
          <w:highlight w:val="none"/>
        </w:rPr>
      </w:pPr>
      <w:bookmarkStart w:id="373" w:name="_Toc54941347"/>
      <w:bookmarkStart w:id="374" w:name="_Toc476584437"/>
      <w:bookmarkStart w:id="375" w:name="_Toc19236"/>
      <w:r>
        <w:rPr>
          <w:rFonts w:hint="eastAsia" w:cs="宋体"/>
          <w:sz w:val="28"/>
          <w:szCs w:val="28"/>
          <w:highlight w:val="none"/>
          <w:lang w:val="en-US" w:eastAsia="zh-CN"/>
        </w:rPr>
        <w:t>四</w:t>
      </w:r>
      <w:r>
        <w:rPr>
          <w:rFonts w:hint="eastAsia" w:cs="宋体"/>
          <w:sz w:val="28"/>
          <w:szCs w:val="28"/>
          <w:highlight w:val="none"/>
        </w:rPr>
        <w:t>、诚信响应承诺书</w:t>
      </w:r>
      <w:bookmarkEnd w:id="373"/>
      <w:bookmarkEnd w:id="374"/>
      <w:bookmarkEnd w:id="375"/>
    </w:p>
    <w:p>
      <w:pPr>
        <w:rPr>
          <w:rFonts w:ascii="宋体" w:cs="宋体"/>
          <w:b/>
          <w:bCs/>
          <w:sz w:val="24"/>
          <w:highlight w:val="none"/>
        </w:rPr>
      </w:pPr>
    </w:p>
    <w:p>
      <w:pPr>
        <w:spacing w:line="440" w:lineRule="exact"/>
        <w:ind w:firstLine="482" w:firstLineChars="200"/>
        <w:rPr>
          <w:rFonts w:ascii="宋体" w:cs="宋体"/>
          <w:b/>
          <w:sz w:val="24"/>
          <w:highlight w:val="none"/>
        </w:rPr>
      </w:pPr>
      <w:r>
        <w:rPr>
          <w:rFonts w:hint="eastAsia" w:ascii="宋体" w:hAnsi="宋体" w:cs="宋体"/>
          <w:b/>
          <w:sz w:val="24"/>
          <w:highlight w:val="none"/>
        </w:rPr>
        <w:t>本人以企业法定代表人的身份郑重承诺：</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一、将遵循公开、公正和诚实信用的原则自愿参加</w:t>
      </w:r>
      <w:r>
        <w:rPr>
          <w:rFonts w:ascii="仿宋" w:hAnsi="仿宋" w:eastAsia="仿宋" w:cs="仿宋"/>
          <w:b/>
          <w:bCs/>
          <w:sz w:val="24"/>
          <w:highlight w:val="none"/>
          <w:u w:val="single"/>
        </w:rPr>
        <w:t xml:space="preserve">                </w:t>
      </w:r>
      <w:r>
        <w:rPr>
          <w:rFonts w:hint="eastAsia" w:ascii="仿宋" w:hAnsi="仿宋" w:eastAsia="仿宋" w:cs="仿宋"/>
          <w:b/>
          <w:bCs/>
          <w:sz w:val="24"/>
          <w:highlight w:val="none"/>
        </w:rPr>
        <w:t>项目的竞争性磋商；</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二、所提供的一切材料都是真实、有效、合法的；</w:t>
      </w:r>
      <w:r>
        <w:rPr>
          <w:rFonts w:ascii="仿宋" w:hAnsi="仿宋" w:eastAsia="仿宋" w:cs="仿宋"/>
          <w:b/>
          <w:bCs/>
          <w:sz w:val="24"/>
          <w:highlight w:val="none"/>
        </w:rPr>
        <w:t xml:space="preserve">  </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三、不出借、转让资质证书，不让他人挂靠磋商，不以他人名义磋商或者以其他方式弄虚作假，骗取成交；</w:t>
      </w:r>
      <w:r>
        <w:rPr>
          <w:rFonts w:ascii="仿宋" w:hAnsi="仿宋" w:eastAsia="仿宋" w:cs="仿宋"/>
          <w:b/>
          <w:bCs/>
          <w:sz w:val="24"/>
          <w:highlight w:val="none"/>
        </w:rPr>
        <w:t xml:space="preserve">  </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四、不与其他磋商供应商相互串通响应报价，不排挤其他磋商供应商的公平竞争、损害采购人的合法权益；</w:t>
      </w:r>
      <w:r>
        <w:rPr>
          <w:rFonts w:ascii="仿宋" w:hAnsi="仿宋" w:eastAsia="仿宋" w:cs="仿宋"/>
          <w:b/>
          <w:bCs/>
          <w:sz w:val="24"/>
          <w:highlight w:val="none"/>
        </w:rPr>
        <w:t xml:space="preserve">  </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五、不与采购单位或其他磋商供应商串通磋商，损害国家利益、社会公共利益或者他人的合法权益；</w:t>
      </w:r>
      <w:r>
        <w:rPr>
          <w:rFonts w:ascii="仿宋" w:hAnsi="仿宋" w:eastAsia="仿宋" w:cs="仿宋"/>
          <w:b/>
          <w:bCs/>
          <w:sz w:val="24"/>
          <w:highlight w:val="none"/>
        </w:rPr>
        <w:t xml:space="preserve">  </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六、严格遵守开标现场纪律，服从监管人员管理；</w:t>
      </w:r>
      <w:r>
        <w:rPr>
          <w:rFonts w:ascii="仿宋" w:hAnsi="仿宋" w:eastAsia="仿宋" w:cs="仿宋"/>
          <w:b/>
          <w:bCs/>
          <w:sz w:val="24"/>
          <w:highlight w:val="none"/>
        </w:rPr>
        <w:t xml:space="preserve">  </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七、保证成交后不转包，若有合法分包征得采购人同意；</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八、保证成交之后，按照磋商响应文件承诺提供货物、服务及派驻人员；</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九、保证企业及所属相关人员在本次磋商响应中无行贿等犯罪行为；</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十、我单位在安徽省公共资源交易市场主体库中录入的信息真实，无编造虚假信息。一旦发现弄虚作假将按有关法律法规和《诚信响应承诺书》中的约定接受处理。</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十一、如在磋商过程和磋商结果</w:t>
      </w:r>
      <w:r>
        <w:rPr>
          <w:rFonts w:hint="eastAsia" w:ascii="仿宋" w:hAnsi="仿宋" w:eastAsia="仿宋" w:cs="仿宋"/>
          <w:b/>
          <w:sz w:val="24"/>
          <w:highlight w:val="none"/>
        </w:rPr>
        <w:t>公告质疑期内</w:t>
      </w:r>
      <w:r>
        <w:rPr>
          <w:rFonts w:hint="eastAsia" w:ascii="仿宋" w:hAnsi="仿宋" w:eastAsia="仿宋" w:cs="仿宋"/>
          <w:b/>
          <w:bCs/>
          <w:sz w:val="24"/>
          <w:highlight w:val="none"/>
        </w:rPr>
        <w:t>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w:t>
      </w:r>
      <w:r>
        <w:rPr>
          <w:rFonts w:ascii="仿宋" w:hAnsi="仿宋" w:eastAsia="仿宋" w:cs="仿宋"/>
          <w:b/>
          <w:bCs/>
          <w:sz w:val="24"/>
          <w:highlight w:val="none"/>
        </w:rPr>
        <w:t xml:space="preserve"> </w:t>
      </w:r>
    </w:p>
    <w:p>
      <w:pPr>
        <w:spacing w:line="44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十二、我方保证对本次磋商活动有任何质疑或投诉，都依法在约定的时间内提出。否则，不针对本次磋商活动提出任何质疑或投诉。</w:t>
      </w:r>
    </w:p>
    <w:p>
      <w:pPr>
        <w:spacing w:line="440" w:lineRule="exact"/>
        <w:ind w:firstLine="482" w:firstLineChars="200"/>
        <w:rPr>
          <w:rFonts w:ascii="宋体" w:cs="宋体"/>
          <w:b/>
          <w:sz w:val="24"/>
          <w:highlight w:val="none"/>
        </w:rPr>
      </w:pPr>
      <w:r>
        <w:rPr>
          <w:rFonts w:hint="eastAsia" w:ascii="仿宋" w:hAnsi="仿宋" w:eastAsia="仿宋" w:cs="仿宋"/>
          <w:b/>
          <w:bCs/>
          <w:sz w:val="24"/>
          <w:highlight w:val="none"/>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highlight w:val="none"/>
        </w:rPr>
        <w:t>。</w:t>
      </w:r>
    </w:p>
    <w:p>
      <w:pPr>
        <w:rPr>
          <w:rFonts w:ascii="宋体" w:cs="宋体"/>
          <w:b/>
          <w:sz w:val="22"/>
          <w:szCs w:val="22"/>
          <w:highlight w:val="none"/>
        </w:rPr>
      </w:pPr>
      <w:r>
        <w:rPr>
          <w:rFonts w:ascii="宋体" w:hAnsi="宋体" w:cs="宋体"/>
          <w:b/>
          <w:sz w:val="22"/>
          <w:szCs w:val="22"/>
          <w:highlight w:val="none"/>
        </w:rPr>
        <w:t xml:space="preserve">  </w:t>
      </w:r>
    </w:p>
    <w:p>
      <w:pPr>
        <w:ind w:firstLine="6264" w:firstLineChars="2600"/>
        <w:rPr>
          <w:rFonts w:ascii="宋体" w:cs="宋体"/>
          <w:b/>
          <w:sz w:val="24"/>
          <w:highlight w:val="none"/>
        </w:rPr>
      </w:pPr>
      <w:r>
        <w:rPr>
          <w:rFonts w:hint="eastAsia" w:ascii="宋体" w:hAnsi="宋体" w:cs="宋体"/>
          <w:b/>
          <w:sz w:val="24"/>
          <w:highlight w:val="none"/>
        </w:rPr>
        <w:t>供应商（公章）：</w:t>
      </w:r>
    </w:p>
    <w:p>
      <w:pPr>
        <w:widowControl/>
        <w:ind w:firstLine="6021" w:firstLineChars="2499"/>
        <w:jc w:val="left"/>
        <w:rPr>
          <w:rFonts w:ascii="宋体" w:cs="宋体"/>
          <w:highlight w:val="none"/>
        </w:rPr>
      </w:pPr>
      <w:r>
        <w:rPr>
          <w:rFonts w:hint="eastAsia" w:ascii="宋体" w:hAnsi="宋体" w:cs="宋体"/>
          <w:b/>
          <w:sz w:val="24"/>
          <w:highlight w:val="none"/>
        </w:rPr>
        <w:t>法定代表人（签章）：</w:t>
      </w:r>
    </w:p>
    <w:p>
      <w:pPr>
        <w:rPr>
          <w:rFonts w:ascii="宋体" w:cs="宋体"/>
          <w:b/>
          <w:bCs/>
          <w:sz w:val="24"/>
          <w:highlight w:val="none"/>
        </w:rPr>
      </w:pPr>
    </w:p>
    <w:p>
      <w:pPr>
        <w:jc w:val="right"/>
        <w:rPr>
          <w:rFonts w:ascii="宋体" w:hAnsi="宋体" w:cs="宋体"/>
          <w:b/>
          <w:bCs/>
          <w:sz w:val="24"/>
          <w:highlight w:val="none"/>
        </w:rPr>
      </w:pPr>
      <w:r>
        <w:rPr>
          <w:rFonts w:hint="eastAsia" w:ascii="宋体" w:hAnsi="宋体" w:cs="宋体"/>
          <w:b/>
          <w:bCs/>
          <w:sz w:val="24"/>
          <w:highlight w:val="none"/>
        </w:rPr>
        <w:t>日期：</w:t>
      </w:r>
      <w:r>
        <w:rPr>
          <w:rFonts w:ascii="宋体" w:hAnsi="宋体" w:cs="宋体"/>
          <w:b/>
          <w:bCs/>
          <w:sz w:val="24"/>
          <w:highlight w:val="none"/>
        </w:rPr>
        <w:t>_____</w:t>
      </w:r>
      <w:r>
        <w:rPr>
          <w:rFonts w:hint="eastAsia" w:ascii="宋体" w:hAnsi="宋体" w:cs="宋体"/>
          <w:b/>
          <w:bCs/>
          <w:sz w:val="24"/>
          <w:highlight w:val="none"/>
        </w:rPr>
        <w:t>年</w:t>
      </w:r>
      <w:r>
        <w:rPr>
          <w:rFonts w:ascii="宋体" w:hAnsi="宋体" w:cs="宋体"/>
          <w:b/>
          <w:bCs/>
          <w:sz w:val="24"/>
          <w:highlight w:val="none"/>
        </w:rPr>
        <w:t>____</w:t>
      </w:r>
      <w:r>
        <w:rPr>
          <w:rFonts w:hint="eastAsia" w:ascii="宋体" w:hAnsi="宋体" w:cs="宋体"/>
          <w:b/>
          <w:bCs/>
          <w:sz w:val="24"/>
          <w:highlight w:val="none"/>
        </w:rPr>
        <w:t>月</w:t>
      </w:r>
      <w:r>
        <w:rPr>
          <w:rFonts w:ascii="宋体" w:hAnsi="宋体" w:cs="宋体"/>
          <w:b/>
          <w:bCs/>
          <w:sz w:val="24"/>
          <w:highlight w:val="none"/>
        </w:rPr>
        <w:t>____</w:t>
      </w:r>
      <w:r>
        <w:rPr>
          <w:rFonts w:hint="eastAsia" w:ascii="宋体" w:hAnsi="宋体" w:cs="宋体"/>
          <w:b/>
          <w:bCs/>
          <w:sz w:val="24"/>
          <w:highlight w:val="none"/>
        </w:rPr>
        <w:t>日</w:t>
      </w:r>
    </w:p>
    <w:p>
      <w:pPr>
        <w:pStyle w:val="5"/>
        <w:jc w:val="center"/>
        <w:rPr>
          <w:b w:val="0"/>
          <w:sz w:val="28"/>
          <w:szCs w:val="28"/>
          <w:highlight w:val="none"/>
        </w:rPr>
      </w:pPr>
      <w:bookmarkStart w:id="376" w:name="_Toc54941348"/>
      <w:r>
        <w:rPr>
          <w:rFonts w:hint="eastAsia"/>
          <w:sz w:val="28"/>
          <w:szCs w:val="28"/>
          <w:highlight w:val="none"/>
          <w:lang w:val="en-US" w:eastAsia="zh-CN"/>
        </w:rPr>
        <w:t>五</w:t>
      </w:r>
      <w:r>
        <w:rPr>
          <w:rFonts w:hint="eastAsia"/>
          <w:sz w:val="28"/>
          <w:szCs w:val="28"/>
          <w:highlight w:val="none"/>
        </w:rPr>
        <w:t>、中小企业声明函</w:t>
      </w:r>
      <w:bookmarkEnd w:id="376"/>
      <w:r>
        <w:rPr>
          <w:rFonts w:hint="eastAsia"/>
          <w:sz w:val="28"/>
          <w:szCs w:val="28"/>
          <w:highlight w:val="none"/>
        </w:rPr>
        <w:t>(</w:t>
      </w:r>
      <w:r>
        <w:rPr>
          <w:rFonts w:hint="eastAsia"/>
          <w:sz w:val="28"/>
          <w:szCs w:val="28"/>
          <w:highlight w:val="none"/>
          <w:lang w:val="en-US" w:eastAsia="zh-CN"/>
        </w:rPr>
        <w:t>工程</w:t>
      </w:r>
      <w:r>
        <w:rPr>
          <w:sz w:val="28"/>
          <w:szCs w:val="28"/>
          <w:highlight w:val="none"/>
        </w:rPr>
        <w:t>)</w:t>
      </w:r>
    </w:p>
    <w:p>
      <w:pPr>
        <w:spacing w:line="360" w:lineRule="auto"/>
        <w:jc w:val="center"/>
        <w:rPr>
          <w:rFonts w:ascii="宋体" w:hAnsi="宋体"/>
          <w:b/>
          <w:szCs w:val="21"/>
          <w:highlight w:val="none"/>
        </w:rPr>
      </w:pPr>
      <w:r>
        <w:rPr>
          <w:rFonts w:hint="eastAsia" w:ascii="宋体" w:hAnsi="宋体"/>
          <w:b/>
          <w:szCs w:val="21"/>
          <w:highlight w:val="none"/>
        </w:rPr>
        <w:t>（</w:t>
      </w:r>
      <w:r>
        <w:rPr>
          <w:rFonts w:hint="eastAsia" w:ascii="宋体" w:hAnsi="宋体"/>
          <w:b/>
          <w:szCs w:val="21"/>
          <w:highlight w:val="none"/>
          <w:lang w:val="en-US" w:eastAsia="zh-CN"/>
        </w:rPr>
        <w:t>本项目必须填写</w:t>
      </w:r>
      <w:r>
        <w:rPr>
          <w:rFonts w:hint="eastAsia" w:ascii="宋体" w:hAnsi="宋体"/>
          <w:b/>
          <w:szCs w:val="21"/>
          <w:highlight w:val="none"/>
        </w:rPr>
        <w:t>）</w:t>
      </w:r>
    </w:p>
    <w:p>
      <w:pPr>
        <w:rPr>
          <w:rFonts w:ascii="宋体" w:hAnsi="宋体"/>
          <w:szCs w:val="2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本公司（联合体）</w:t>
      </w:r>
      <w:r>
        <w:rPr>
          <w:sz w:val="28"/>
          <w:szCs w:val="28"/>
          <w:highlight w:val="none"/>
        </w:rPr>
        <w:t>郑重声明，根据《政府采购促进中小企业发展管理办法》(财库﹝2020﹞46号）的规定，本公司</w:t>
      </w:r>
      <w:r>
        <w:rPr>
          <w:rFonts w:hint="eastAsia"/>
          <w:sz w:val="28"/>
          <w:szCs w:val="28"/>
          <w:highlight w:val="none"/>
        </w:rPr>
        <w:t>（联合体）</w:t>
      </w:r>
      <w:r>
        <w:rPr>
          <w:sz w:val="28"/>
          <w:szCs w:val="28"/>
          <w:highlight w:val="none"/>
        </w:rPr>
        <w:t>参加</w:t>
      </w:r>
      <w:r>
        <w:rPr>
          <w:rFonts w:hint="eastAsia" w:ascii="Times New Roman" w:hAnsi="Times New Roman" w:eastAsia="宋体" w:cs="Times New Roman"/>
          <w:sz w:val="28"/>
          <w:szCs w:val="28"/>
          <w:highlight w:val="none"/>
          <w:u w:val="single"/>
          <w:lang w:val="en-US" w:eastAsia="zh-CN"/>
        </w:rPr>
        <w:t>安庆</w:t>
      </w:r>
      <w:r>
        <w:rPr>
          <w:rFonts w:hint="eastAsia" w:cs="Times New Roman"/>
          <w:sz w:val="28"/>
          <w:szCs w:val="28"/>
          <w:highlight w:val="none"/>
          <w:u w:val="single"/>
          <w:lang w:val="en-US" w:eastAsia="zh-CN"/>
        </w:rPr>
        <w:t>职业技术学院</w:t>
      </w:r>
      <w:r>
        <w:rPr>
          <w:rFonts w:hint="eastAsia"/>
          <w:i w:val="0"/>
          <w:iCs/>
          <w:sz w:val="28"/>
          <w:szCs w:val="28"/>
          <w:highlight w:val="none"/>
          <w:u w:val="single"/>
        </w:rPr>
        <w:t xml:space="preserve"> </w:t>
      </w:r>
      <w:r>
        <w:rPr>
          <w:sz w:val="28"/>
          <w:szCs w:val="28"/>
          <w:highlight w:val="none"/>
        </w:rPr>
        <w:t>的</w:t>
      </w:r>
      <w:r>
        <w:rPr>
          <w:rFonts w:hint="eastAsia"/>
          <w:sz w:val="28"/>
          <w:szCs w:val="28"/>
          <w:highlight w:val="none"/>
          <w:u w:val="single"/>
          <w:lang w:eastAsia="zh-CN"/>
        </w:rPr>
        <w:t>安庆职业技术学院篮球场和排球场改造项目</w:t>
      </w:r>
      <w:r>
        <w:rPr>
          <w:sz w:val="28"/>
          <w:szCs w:val="28"/>
          <w:highlight w:val="none"/>
        </w:rPr>
        <w:t>采购活动，</w:t>
      </w:r>
      <w:r>
        <w:rPr>
          <w:rFonts w:hint="eastAsia"/>
          <w:sz w:val="28"/>
          <w:szCs w:val="28"/>
          <w:highlight w:val="none"/>
        </w:rPr>
        <w:t>服务</w:t>
      </w:r>
      <w:r>
        <w:rPr>
          <w:sz w:val="28"/>
          <w:szCs w:val="28"/>
          <w:highlight w:val="none"/>
        </w:rPr>
        <w:t>全部由符合政策要求的中小企业</w:t>
      </w:r>
      <w:r>
        <w:rPr>
          <w:rFonts w:hint="eastAsia"/>
          <w:sz w:val="28"/>
          <w:szCs w:val="28"/>
          <w:highlight w:val="none"/>
        </w:rPr>
        <w:t>承接</w:t>
      </w:r>
      <w:r>
        <w:rPr>
          <w:sz w:val="28"/>
          <w:szCs w:val="28"/>
          <w:highlight w:val="none"/>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u w:val="single"/>
          <w:lang w:eastAsia="zh-CN"/>
        </w:rPr>
        <w:t>安庆职业技术学院篮球场和排球场改造项目</w:t>
      </w:r>
      <w:r>
        <w:rPr>
          <w:sz w:val="28"/>
          <w:szCs w:val="28"/>
          <w:highlight w:val="none"/>
        </w:rPr>
        <w:t>，属于</w:t>
      </w:r>
      <w:r>
        <w:rPr>
          <w:rFonts w:hint="eastAsia"/>
          <w:i w:val="0"/>
          <w:iCs/>
          <w:sz w:val="28"/>
          <w:szCs w:val="28"/>
          <w:highlight w:val="none"/>
          <w:u w:val="single"/>
          <w:lang w:val="en-US" w:eastAsia="zh-CN"/>
        </w:rPr>
        <w:t>建筑业</w:t>
      </w:r>
      <w:r>
        <w:rPr>
          <w:sz w:val="28"/>
          <w:szCs w:val="28"/>
          <w:highlight w:val="none"/>
        </w:rPr>
        <w:t>;</w:t>
      </w:r>
      <w:r>
        <w:rPr>
          <w:rFonts w:hint="eastAsia"/>
          <w:sz w:val="28"/>
          <w:szCs w:val="28"/>
          <w:highlight w:val="none"/>
        </w:rPr>
        <w:t>承接企业</w:t>
      </w:r>
      <w:r>
        <w:rPr>
          <w:sz w:val="28"/>
          <w:szCs w:val="28"/>
          <w:highlight w:val="none"/>
        </w:rPr>
        <w:t>为</w:t>
      </w:r>
      <w:r>
        <w:rPr>
          <w:i/>
          <w:sz w:val="28"/>
          <w:szCs w:val="28"/>
          <w:highlight w:val="none"/>
          <w:u w:val="single"/>
        </w:rPr>
        <w:t>（企业名称)</w:t>
      </w:r>
      <w:r>
        <w:rPr>
          <w:sz w:val="28"/>
          <w:szCs w:val="28"/>
          <w:highlight w:val="none"/>
        </w:rPr>
        <w:t>，从业人员_____人，营业收入为______万元，资产总额为_____万元'，属于</w:t>
      </w:r>
      <w:r>
        <w:rPr>
          <w:i/>
          <w:sz w:val="28"/>
          <w:szCs w:val="28"/>
          <w:highlight w:val="none"/>
          <w:u w:val="single"/>
        </w:rPr>
        <w:t>（中型企业、小型企业、微型企业)</w:t>
      </w:r>
      <w:r>
        <w:rPr>
          <w:rFonts w:hint="eastAsia"/>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highlight w:val="none"/>
        </w:rPr>
      </w:pPr>
      <w:r>
        <w:rPr>
          <w:rFonts w:hint="eastAsia"/>
          <w:sz w:val="28"/>
          <w:szCs w:val="28"/>
          <w:highlight w:val="none"/>
        </w:rPr>
        <w:t>本企业对上述声明内容的真实性负责。如有虚假，将依法承担相应责任。</w:t>
      </w:r>
    </w:p>
    <w:p>
      <w:pPr>
        <w:ind w:right="1120"/>
        <w:jc w:val="right"/>
        <w:rPr>
          <w:sz w:val="28"/>
          <w:szCs w:val="28"/>
          <w:highlight w:val="none"/>
        </w:rPr>
      </w:pPr>
      <w:r>
        <w:rPr>
          <w:rFonts w:hint="eastAsia"/>
          <w:sz w:val="28"/>
          <w:szCs w:val="28"/>
          <w:highlight w:val="none"/>
        </w:rPr>
        <w:t>企业名称（盖章</w:t>
      </w:r>
      <w:r>
        <w:rPr>
          <w:sz w:val="28"/>
          <w:szCs w:val="28"/>
          <w:highlight w:val="none"/>
        </w:rPr>
        <w:t>):</w:t>
      </w:r>
    </w:p>
    <w:p>
      <w:pPr>
        <w:ind w:right="1120"/>
        <w:jc w:val="center"/>
        <w:rPr>
          <w:sz w:val="28"/>
          <w:szCs w:val="28"/>
          <w:highlight w:val="none"/>
        </w:rPr>
      </w:pPr>
      <w:r>
        <w:rPr>
          <w:rFonts w:hint="eastAsia"/>
          <w:sz w:val="28"/>
          <w:szCs w:val="28"/>
          <w:highlight w:val="none"/>
        </w:rPr>
        <w:t xml:space="preserve"> </w:t>
      </w:r>
      <w:r>
        <w:rPr>
          <w:sz w:val="28"/>
          <w:szCs w:val="28"/>
          <w:highlight w:val="none"/>
        </w:rPr>
        <w:t xml:space="preserve">                               日期:______________</w:t>
      </w:r>
    </w:p>
    <w:p>
      <w:pPr>
        <w:rPr>
          <w:rFonts w:hint="eastAsia"/>
          <w:b/>
          <w:sz w:val="24"/>
          <w:highlight w:val="none"/>
        </w:rPr>
      </w:pPr>
    </w:p>
    <w:p>
      <w:pPr>
        <w:rPr>
          <w:rFonts w:hint="eastAsia"/>
          <w:b/>
          <w:sz w:val="24"/>
          <w:highlight w:val="none"/>
        </w:rPr>
      </w:pPr>
    </w:p>
    <w:p>
      <w:pPr>
        <w:rPr>
          <w:b/>
          <w:sz w:val="24"/>
          <w:highlight w:val="none"/>
        </w:rPr>
      </w:pPr>
      <w:r>
        <w:rPr>
          <w:rFonts w:hint="eastAsia"/>
          <w:b/>
          <w:sz w:val="24"/>
          <w:highlight w:val="none"/>
        </w:rPr>
        <w:t>说明：</w:t>
      </w:r>
      <w:r>
        <w:rPr>
          <w:rFonts w:hint="eastAsia"/>
          <w:b/>
          <w:sz w:val="24"/>
          <w:highlight w:val="none"/>
          <w:lang w:val="en-US" w:eastAsia="zh-CN"/>
        </w:rPr>
        <w:t>1.</w:t>
      </w:r>
      <w:r>
        <w:rPr>
          <w:b/>
          <w:sz w:val="24"/>
          <w:highlight w:val="none"/>
        </w:rPr>
        <w:t>从业人员、营业收入、资产总额填报上一年度数据，无上一年度数据的新成立企业可不填报。</w:t>
      </w:r>
    </w:p>
    <w:p>
      <w:pPr>
        <w:pStyle w:val="24"/>
        <w:rPr>
          <w:rFonts w:hint="default" w:ascii="Times New Roman" w:hAnsi="Times New Roman" w:eastAsia="宋体" w:cs="Times New Roman"/>
          <w:b/>
          <w:kern w:val="2"/>
          <w:sz w:val="24"/>
          <w:highlight w:val="none"/>
          <w:lang w:val="en-US" w:eastAsia="zh-CN" w:bidi="ar-SA"/>
        </w:rPr>
      </w:pPr>
      <w:r>
        <w:rPr>
          <w:rFonts w:hint="eastAsia" w:ascii="Times New Roman" w:hAnsi="Times New Roman" w:eastAsia="宋体" w:cs="Times New Roman"/>
          <w:b/>
          <w:kern w:val="2"/>
          <w:sz w:val="24"/>
          <w:highlight w:val="none"/>
          <w:lang w:val="en-US" w:eastAsia="zh-CN" w:bidi="ar-SA"/>
        </w:rPr>
        <w:t>2.建筑业。营业收入80000万元以下或资产总额80000万元以下的为中小微型企业。其中，营业收入 6000万元及以上，且资产总额5000万元及以上的为中型企业；营业收入300万元及以上，且资产总额300万元及 以上的为小型企业；营业收入300万元以下或资产总额300万元以下的为微型企业。</w:t>
      </w:r>
    </w:p>
    <w:p>
      <w:pPr>
        <w:widowControl/>
        <w:jc w:val="left"/>
        <w:rPr>
          <w:highlight w:val="none"/>
        </w:rPr>
      </w:pPr>
      <w:r>
        <w:rPr>
          <w:highlight w:val="none"/>
        </w:rPr>
        <w:br w:type="page"/>
      </w:r>
    </w:p>
    <w:p>
      <w:pPr>
        <w:pStyle w:val="5"/>
        <w:jc w:val="center"/>
        <w:rPr>
          <w:highlight w:val="none"/>
        </w:rPr>
      </w:pPr>
      <w:bookmarkStart w:id="377" w:name="_Toc54939208"/>
      <w:bookmarkStart w:id="378" w:name="_Toc54941349"/>
      <w:r>
        <w:rPr>
          <w:rFonts w:hint="eastAsia"/>
          <w:highlight w:val="none"/>
          <w:lang w:val="en-US" w:eastAsia="zh-CN"/>
        </w:rPr>
        <w:t>六</w:t>
      </w:r>
      <w:r>
        <w:rPr>
          <w:rFonts w:hint="eastAsia"/>
          <w:highlight w:val="none"/>
        </w:rPr>
        <w:t>、</w:t>
      </w:r>
      <w:r>
        <w:rPr>
          <w:highlight w:val="none"/>
        </w:rPr>
        <w:t>残疾人福利性单位声明函</w:t>
      </w:r>
      <w:bookmarkEnd w:id="377"/>
      <w:bookmarkEnd w:id="378"/>
    </w:p>
    <w:p>
      <w:pPr>
        <w:spacing w:after="134" w:line="259" w:lineRule="auto"/>
        <w:ind w:left="297" w:hanging="10"/>
        <w:jc w:val="center"/>
        <w:rPr>
          <w:highlight w:val="none"/>
        </w:rPr>
      </w:pPr>
      <w:r>
        <w:rPr>
          <w:sz w:val="25"/>
          <w:highlight w:val="none"/>
        </w:rPr>
        <w:t>（非残疾人福利性单位</w:t>
      </w:r>
      <w:r>
        <w:rPr>
          <w:rFonts w:hint="eastAsia"/>
          <w:sz w:val="25"/>
          <w:highlight w:val="none"/>
        </w:rPr>
        <w:t>磋商</w:t>
      </w:r>
      <w:r>
        <w:rPr>
          <w:sz w:val="25"/>
          <w:highlight w:val="none"/>
        </w:rPr>
        <w:t xml:space="preserve">，不需此件） </w:t>
      </w:r>
      <w:r>
        <w:rPr>
          <w:highlight w:val="none"/>
        </w:rPr>
        <w:t xml:space="preserve"> </w:t>
      </w:r>
    </w:p>
    <w:p>
      <w:pPr>
        <w:autoSpaceDE w:val="0"/>
        <w:autoSpaceDN w:val="0"/>
        <w:spacing w:line="480" w:lineRule="auto"/>
        <w:ind w:left="80" w:leftChars="38" w:right="40" w:firstLine="480" w:firstLineChars="200"/>
        <w:rPr>
          <w:rFonts w:ascii="宋体" w:hAnsi="宋体"/>
          <w:sz w:val="24"/>
          <w:szCs w:val="22"/>
          <w:highlight w:val="none"/>
          <w:lang w:val="zh-CN"/>
        </w:rPr>
      </w:pPr>
      <w:r>
        <w:rPr>
          <w:rFonts w:ascii="宋体" w:hAnsi="宋体"/>
          <w:sz w:val="24"/>
          <w:szCs w:val="22"/>
          <w:highlight w:val="none"/>
          <w:lang w:val="zh-CN"/>
        </w:rPr>
        <w:t>本单位郑重声明，根据《财政部 民政部 中国残疾人联合会关于促进残疾人就业政府采购政策的通知》（财库〔2017〕141号）的规定，本单位为□ 符合□不符合（对应</w:t>
      </w:r>
      <w:r>
        <w:rPr>
          <w:rFonts w:hint="eastAsia" w:ascii="宋体" w:hAnsi="宋体"/>
          <w:sz w:val="24"/>
          <w:szCs w:val="22"/>
          <w:highlight w:val="none"/>
          <w:lang w:val="zh-CN"/>
        </w:rPr>
        <w:t>请</w:t>
      </w:r>
      <w:r>
        <w:rPr>
          <w:rFonts w:ascii="宋体" w:hAnsi="宋体"/>
          <w:sz w:val="24"/>
          <w:szCs w:val="22"/>
          <w:highlight w:val="none"/>
          <w:lang w:val="zh-CN"/>
        </w:rPr>
        <w:t>勾选）条件的残疾人福利性单位，且本单位参加本项目采购活动</w:t>
      </w:r>
      <w:r>
        <w:rPr>
          <w:rFonts w:hint="eastAsia" w:ascii="宋体" w:hAnsi="宋体"/>
          <w:sz w:val="24"/>
          <w:szCs w:val="22"/>
          <w:highlight w:val="none"/>
          <w:lang w:val="zh-CN"/>
        </w:rPr>
        <w:t>，由</w:t>
      </w:r>
      <w:r>
        <w:rPr>
          <w:rFonts w:ascii="宋体" w:hAnsi="宋体"/>
          <w:sz w:val="24"/>
          <w:szCs w:val="22"/>
          <w:highlight w:val="none"/>
          <w:lang w:val="zh-CN"/>
        </w:rPr>
        <w:t>本单位</w:t>
      </w:r>
      <w:r>
        <w:rPr>
          <w:rFonts w:hint="eastAsia" w:ascii="宋体" w:hAnsi="宋体"/>
          <w:sz w:val="24"/>
          <w:szCs w:val="22"/>
          <w:highlight w:val="none"/>
          <w:lang w:val="zh-CN"/>
        </w:rPr>
        <w:t>提供服务。</w:t>
      </w:r>
    </w:p>
    <w:p>
      <w:pPr>
        <w:autoSpaceDE w:val="0"/>
        <w:autoSpaceDN w:val="0"/>
        <w:spacing w:line="480" w:lineRule="auto"/>
        <w:ind w:left="80" w:leftChars="38" w:right="40" w:firstLine="480" w:firstLineChars="200"/>
        <w:rPr>
          <w:rFonts w:ascii="宋体" w:hAnsi="宋体"/>
          <w:sz w:val="24"/>
          <w:szCs w:val="22"/>
          <w:highlight w:val="none"/>
          <w:lang w:val="zh-CN"/>
        </w:rPr>
      </w:pPr>
      <w:r>
        <w:rPr>
          <w:rFonts w:ascii="宋体" w:hAnsi="宋体"/>
          <w:sz w:val="24"/>
          <w:szCs w:val="22"/>
          <w:highlight w:val="none"/>
          <w:lang w:val="zh-CN"/>
        </w:rPr>
        <w:t xml:space="preserve">本单位对上述声明的真实性负责。如有虚假，将依法承担相应责任。 </w:t>
      </w:r>
    </w:p>
    <w:p>
      <w:pPr>
        <w:autoSpaceDE w:val="0"/>
        <w:autoSpaceDN w:val="0"/>
        <w:spacing w:line="480" w:lineRule="auto"/>
        <w:ind w:left="80" w:leftChars="38" w:right="40" w:firstLine="480" w:firstLineChars="200"/>
        <w:rPr>
          <w:rFonts w:ascii="宋体" w:hAnsi="宋体"/>
          <w:sz w:val="24"/>
          <w:szCs w:val="22"/>
          <w:highlight w:val="none"/>
          <w:lang w:val="zh-CN"/>
        </w:rPr>
      </w:pPr>
    </w:p>
    <w:p>
      <w:pPr>
        <w:spacing w:line="360" w:lineRule="auto"/>
        <w:jc w:val="right"/>
        <w:rPr>
          <w:rFonts w:ascii="宋体" w:hAnsi="宋体"/>
          <w:b/>
          <w:sz w:val="24"/>
          <w:highlight w:val="none"/>
        </w:rPr>
      </w:pPr>
      <w:r>
        <w:rPr>
          <w:rFonts w:hint="eastAsia" w:ascii="宋体" w:hAnsi="宋体"/>
          <w:b/>
          <w:sz w:val="24"/>
          <w:highlight w:val="none"/>
        </w:rPr>
        <w:t>供应商单位（盖章）：______________________</w:t>
      </w:r>
    </w:p>
    <w:p>
      <w:pPr>
        <w:spacing w:line="360" w:lineRule="auto"/>
        <w:jc w:val="right"/>
        <w:rPr>
          <w:rFonts w:ascii="宋体" w:hAnsi="宋体"/>
          <w:b/>
          <w:sz w:val="24"/>
          <w:highlight w:val="none"/>
        </w:rPr>
      </w:pPr>
      <w:r>
        <w:rPr>
          <w:rFonts w:hint="eastAsia" w:ascii="宋体" w:hAnsi="宋体"/>
          <w:b/>
          <w:sz w:val="24"/>
          <w:highlight w:val="none"/>
        </w:rPr>
        <w:t>法定代表人（盖章）：______________________</w:t>
      </w:r>
      <w:r>
        <w:rPr>
          <w:rFonts w:ascii="宋体" w:hAnsi="宋体"/>
          <w:b/>
          <w:sz w:val="24"/>
          <w:highlight w:val="none"/>
        </w:rPr>
        <w:t xml:space="preserve">                     </w:t>
      </w:r>
    </w:p>
    <w:p>
      <w:pPr>
        <w:tabs>
          <w:tab w:val="left" w:pos="4620"/>
        </w:tabs>
        <w:spacing w:line="360" w:lineRule="auto"/>
        <w:ind w:right="964" w:firstLine="3373" w:firstLineChars="1400"/>
        <w:rPr>
          <w:rFonts w:ascii="宋体" w:hAnsi="宋体"/>
          <w:sz w:val="24"/>
          <w:szCs w:val="22"/>
          <w:highlight w:val="none"/>
          <w:u w:val="single"/>
        </w:rPr>
      </w:pPr>
      <w:r>
        <w:rPr>
          <w:rFonts w:hint="eastAsia" w:ascii="宋体" w:hAnsi="宋体"/>
          <w:b/>
          <w:sz w:val="24"/>
          <w:szCs w:val="22"/>
          <w:highlight w:val="none"/>
        </w:rPr>
        <w:t>日</w:t>
      </w:r>
      <w:r>
        <w:rPr>
          <w:rFonts w:ascii="宋体" w:hAnsi="宋体"/>
          <w:b/>
          <w:sz w:val="24"/>
          <w:szCs w:val="22"/>
          <w:highlight w:val="none"/>
        </w:rPr>
        <w:t xml:space="preserve">      </w:t>
      </w:r>
      <w:r>
        <w:rPr>
          <w:rFonts w:hint="eastAsia" w:ascii="宋体" w:hAnsi="宋体"/>
          <w:b/>
          <w:sz w:val="24"/>
          <w:szCs w:val="22"/>
          <w:highlight w:val="none"/>
        </w:rPr>
        <w:t>期</w:t>
      </w:r>
      <w:r>
        <w:rPr>
          <w:rFonts w:hint="eastAsia" w:ascii="宋体" w:hAnsi="宋体"/>
          <w:sz w:val="24"/>
          <w:szCs w:val="22"/>
          <w:highlight w:val="none"/>
        </w:rPr>
        <w:t>：</w:t>
      </w:r>
      <w:r>
        <w:rPr>
          <w:rFonts w:ascii="宋体" w:hAnsi="宋体"/>
          <w:sz w:val="24"/>
          <w:szCs w:val="22"/>
          <w:highlight w:val="none"/>
          <w:u w:val="single"/>
        </w:rPr>
        <w:t xml:space="preserve">                     </w:t>
      </w:r>
    </w:p>
    <w:p>
      <w:pPr>
        <w:widowControl/>
        <w:jc w:val="left"/>
        <w:rPr>
          <w:rFonts w:hint="eastAsia" w:eastAsia="楷体_GB2312"/>
          <w:highlight w:val="none"/>
          <w:lang w:val="en-US" w:eastAsia="zh-CN"/>
        </w:rPr>
      </w:pPr>
      <w:r>
        <w:rPr>
          <w:rFonts w:ascii="宋体" w:hAnsi="宋体" w:cs="宋体"/>
          <w:b/>
          <w:bCs/>
          <w:sz w:val="24"/>
          <w:highlight w:val="none"/>
        </w:rPr>
        <w:br w:type="page"/>
      </w:r>
    </w:p>
    <w:p>
      <w:pPr>
        <w:pStyle w:val="5"/>
        <w:jc w:val="center"/>
        <w:rPr>
          <w:rFonts w:cs="宋体"/>
          <w:highlight w:val="none"/>
          <w:bdr w:val="single" w:color="auto" w:sz="4" w:space="0"/>
        </w:rPr>
      </w:pPr>
      <w:bookmarkStart w:id="379" w:name="_Toc54941350"/>
      <w:bookmarkStart w:id="380" w:name="_Toc476584438"/>
      <w:r>
        <w:rPr>
          <w:rFonts w:hint="eastAsia" w:cs="宋体"/>
          <w:highlight w:val="none"/>
          <w:lang w:val="en-US" w:eastAsia="zh-CN"/>
        </w:rPr>
        <w:t>七</w:t>
      </w:r>
      <w:r>
        <w:rPr>
          <w:rFonts w:hint="eastAsia" w:cs="宋体"/>
          <w:highlight w:val="none"/>
        </w:rPr>
        <w:t>、磋商证明文件</w:t>
      </w:r>
      <w:bookmarkEnd w:id="379"/>
      <w:bookmarkEnd w:id="380"/>
    </w:p>
    <w:p>
      <w:pPr>
        <w:spacing w:line="360" w:lineRule="auto"/>
        <w:ind w:firstLine="420" w:firstLineChars="200"/>
        <w:rPr>
          <w:rFonts w:ascii="宋体" w:hAns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r>
        <w:rPr>
          <w:rFonts w:hint="eastAsia" w:ascii="宋体" w:hAnsi="宋体"/>
          <w:szCs w:val="21"/>
          <w:highlight w:val="none"/>
          <w:lang w:eastAsia="zh-CN"/>
        </w:rPr>
        <w:t>、</w:t>
      </w:r>
      <w:r>
        <w:rPr>
          <w:rFonts w:hint="eastAsia" w:ascii="宋体" w:hAnsi="宋体"/>
          <w:szCs w:val="21"/>
          <w:highlight w:val="none"/>
          <w:lang w:val="en-US" w:eastAsia="zh-CN"/>
        </w:rPr>
        <w:t>资质证书、安全生产许可证</w:t>
      </w:r>
      <w:r>
        <w:rPr>
          <w:rFonts w:hint="eastAsia" w:ascii="宋体" w:hAnsi="宋体"/>
          <w:szCs w:val="21"/>
          <w:highlight w:val="none"/>
        </w:rPr>
        <w:t>；</w:t>
      </w:r>
    </w:p>
    <w:p>
      <w:pPr>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拟派项目经理的注册建造师证书、安全生产考核合格证</w:t>
      </w:r>
      <w:r>
        <w:rPr>
          <w:rFonts w:hint="eastAsia" w:ascii="宋体" w:hAnsi="宋体" w:eastAsia="宋体" w:cs="Times New Roman"/>
          <w:szCs w:val="21"/>
          <w:highlight w:val="none"/>
          <w:lang w:eastAsia="zh-CN"/>
        </w:rPr>
        <w:t>；</w:t>
      </w:r>
    </w:p>
    <w:p>
      <w:pPr>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项目管理机构配备情况</w:t>
      </w:r>
      <w:r>
        <w:rPr>
          <w:rFonts w:hint="eastAsia" w:ascii="宋体" w:hAnsi="宋体" w:eastAsia="宋体" w:cs="Times New Roman"/>
          <w:szCs w:val="21"/>
          <w:highlight w:val="none"/>
          <w:lang w:eastAsia="zh-CN"/>
        </w:rPr>
        <w:t>；</w:t>
      </w:r>
    </w:p>
    <w:p>
      <w:pPr>
        <w:spacing w:line="360"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4、供应商声明函；</w:t>
      </w:r>
    </w:p>
    <w:p>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5、拟派项目经理简历；</w:t>
      </w:r>
    </w:p>
    <w:p>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6、项目经理承诺；</w:t>
      </w:r>
    </w:p>
    <w:p>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7、磋商报价编制人信息表</w:t>
      </w:r>
      <w:r>
        <w:rPr>
          <w:rFonts w:hint="eastAsia" w:ascii="宋体" w:hAnsi="宋体" w:cs="Times New Roman"/>
          <w:szCs w:val="21"/>
          <w:highlight w:val="none"/>
          <w:lang w:val="en-US" w:eastAsia="zh-CN"/>
        </w:rPr>
        <w:t>；</w:t>
      </w:r>
    </w:p>
    <w:p>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、拟分包情况表；</w:t>
      </w:r>
    </w:p>
    <w:p>
      <w:pPr>
        <w:spacing w:line="360" w:lineRule="auto"/>
        <w:ind w:firstLine="420" w:firstLineChars="200"/>
        <w:rPr>
          <w:rFonts w:ascii="宋体" w:hAnsi="宋体"/>
          <w:strike/>
          <w:szCs w:val="21"/>
          <w:highlight w:val="none"/>
        </w:rPr>
      </w:pPr>
      <w:r>
        <w:rPr>
          <w:rFonts w:hint="eastAsia" w:ascii="宋体" w:hAnsi="宋体"/>
          <w:szCs w:val="21"/>
          <w:highlight w:val="none"/>
          <w:lang w:val="en-US" w:eastAsia="zh-CN"/>
        </w:rPr>
        <w:t>9</w:t>
      </w:r>
      <w:r>
        <w:rPr>
          <w:rFonts w:hint="eastAsia" w:ascii="宋体" w:hAnsi="宋体"/>
          <w:szCs w:val="21"/>
          <w:highlight w:val="none"/>
        </w:rPr>
        <w:t>、</w:t>
      </w:r>
      <w:r>
        <w:rPr>
          <w:rFonts w:hint="default" w:ascii="宋体" w:hAnsi="宋体" w:eastAsia="宋体" w:cs="Times New Roman"/>
          <w:szCs w:val="21"/>
          <w:highlight w:val="none"/>
          <w:lang w:val="en-US"/>
        </w:rPr>
        <w:t>施工组织设计</w:t>
      </w:r>
      <w:r>
        <w:rPr>
          <w:rFonts w:hint="eastAsia" w:ascii="宋体" w:hAnsi="宋体" w:cs="Times New Roman"/>
          <w:szCs w:val="21"/>
          <w:highlight w:val="none"/>
          <w:lang w:val="en-US" w:eastAsia="zh-CN"/>
        </w:rPr>
        <w:t>；</w:t>
      </w:r>
      <w:r>
        <w:rPr>
          <w:rFonts w:ascii="宋体" w:hAnsi="宋体"/>
          <w:szCs w:val="21"/>
          <w:highlight w:val="none"/>
        </w:rPr>
        <w:t xml:space="preserve"> </w:t>
      </w:r>
    </w:p>
    <w:p>
      <w:pPr>
        <w:spacing w:line="360" w:lineRule="auto"/>
        <w:ind w:firstLine="420" w:firstLineChars="200"/>
        <w:rPr>
          <w:rFonts w:ascii="宋体"/>
          <w:szCs w:val="21"/>
          <w:highlight w:val="none"/>
        </w:rPr>
      </w:pPr>
      <w:r>
        <w:rPr>
          <w:rFonts w:hint="eastAsia" w:ascii="宋体" w:hAnsi="宋体"/>
          <w:szCs w:val="21"/>
          <w:highlight w:val="none"/>
          <w:lang w:val="en-US" w:eastAsia="zh-CN"/>
        </w:rPr>
        <w:t>10</w:t>
      </w:r>
      <w:r>
        <w:rPr>
          <w:rFonts w:hint="eastAsia" w:ascii="宋体" w:hAnsi="宋体"/>
          <w:szCs w:val="21"/>
          <w:highlight w:val="none"/>
        </w:rPr>
        <w:t>、法定代表人身份证明书（格式见附件）及其有效二代居民身份证；</w:t>
      </w:r>
    </w:p>
    <w:p>
      <w:pPr>
        <w:spacing w:line="360" w:lineRule="auto"/>
        <w:ind w:firstLine="420" w:firstLineChars="200"/>
        <w:rPr>
          <w:rFonts w:ascii="宋体" w:cs="宋体"/>
          <w:strike/>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szCs w:val="21"/>
          <w:highlight w:val="none"/>
        </w:rPr>
        <w:t>法定代表人授权委托书（格式见附件）及委托代理人有效二代居民身份证，若法定代表人本人参与磋商则不需此件；</w:t>
      </w:r>
    </w:p>
    <w:p>
      <w:pPr>
        <w:spacing w:line="360" w:lineRule="auto"/>
        <w:ind w:firstLine="404" w:firstLineChars="200"/>
        <w:rPr>
          <w:rFonts w:ascii="宋体" w:cs="宋体"/>
          <w:b/>
          <w:spacing w:val="-4"/>
          <w:kern w:val="0"/>
          <w:szCs w:val="21"/>
          <w:highlight w:val="none"/>
        </w:rPr>
      </w:pPr>
      <w:r>
        <w:rPr>
          <w:rFonts w:hint="eastAsia" w:ascii="宋体" w:hAnsi="宋体" w:cs="宋体"/>
          <w:spacing w:val="-4"/>
          <w:kern w:val="0"/>
          <w:szCs w:val="21"/>
          <w:highlight w:val="none"/>
          <w:lang w:val="en-US" w:eastAsia="zh-CN"/>
        </w:rPr>
        <w:t>12</w:t>
      </w:r>
      <w:r>
        <w:rPr>
          <w:rFonts w:hint="eastAsia" w:ascii="宋体" w:hAnsi="宋体" w:cs="宋体"/>
          <w:spacing w:val="-4"/>
          <w:kern w:val="0"/>
          <w:szCs w:val="21"/>
          <w:highlight w:val="none"/>
        </w:rPr>
        <w:t>、</w:t>
      </w:r>
      <w:r>
        <w:rPr>
          <w:rFonts w:hint="eastAsia" w:ascii="宋体" w:hAnsi="宋体" w:cs="宋体"/>
          <w:szCs w:val="21"/>
          <w:highlight w:val="none"/>
        </w:rPr>
        <w:t>本项目磋商文件中要求供应商提供的其他证明材料。</w:t>
      </w:r>
    </w:p>
    <w:p>
      <w:pPr>
        <w:spacing w:line="360" w:lineRule="auto"/>
        <w:ind w:firstLine="420" w:firstLineChars="200"/>
        <w:rPr>
          <w:rFonts w:ascii="宋体" w:hAnsi="宋体" w:cs="宋体"/>
          <w:spacing w:val="-4"/>
          <w:kern w:val="0"/>
          <w:szCs w:val="21"/>
          <w:highlight w:val="none"/>
        </w:rPr>
      </w:pPr>
      <w:r>
        <w:rPr>
          <w:rFonts w:hint="eastAsia" w:ascii="宋体" w:hAnsi="宋体"/>
          <w:szCs w:val="21"/>
          <w:highlight w:val="none"/>
          <w:lang w:val="en-US" w:eastAsia="zh-CN"/>
        </w:rPr>
        <w:t>13、</w:t>
      </w:r>
      <w:r>
        <w:rPr>
          <w:rFonts w:hint="eastAsia" w:ascii="宋体" w:hAnsi="宋体"/>
          <w:szCs w:val="21"/>
          <w:highlight w:val="none"/>
        </w:rPr>
        <w:t>须提供上述证明文件复印件或扫描件或影印件</w:t>
      </w:r>
      <w:r>
        <w:rPr>
          <w:rFonts w:hint="eastAsia" w:ascii="宋体" w:hAnsi="宋体" w:cs="宋体"/>
          <w:spacing w:val="-4"/>
          <w:kern w:val="0"/>
          <w:szCs w:val="21"/>
          <w:highlight w:val="none"/>
        </w:rPr>
        <w:t>。</w:t>
      </w:r>
    </w:p>
    <w:p>
      <w:pPr>
        <w:spacing w:line="360" w:lineRule="auto"/>
        <w:ind w:firstLine="404" w:firstLineChars="200"/>
        <w:rPr>
          <w:rFonts w:ascii="宋体" w:hAnsi="宋体" w:cs="宋体"/>
          <w:spacing w:val="-4"/>
          <w:kern w:val="0"/>
          <w:szCs w:val="21"/>
          <w:highlight w:val="none"/>
        </w:rPr>
      </w:pPr>
    </w:p>
    <w:p>
      <w:pPr>
        <w:pStyle w:val="4"/>
        <w:pageBreakBefore w:val="0"/>
        <w:kinsoku/>
        <w:wordWrap/>
        <w:overflowPunct/>
        <w:topLinePunct w:val="0"/>
        <w:bidi w:val="0"/>
        <w:spacing w:line="240" w:lineRule="auto"/>
        <w:jc w:val="left"/>
        <w:rPr>
          <w:rFonts w:hint="eastAsia" w:ascii="宋体" w:hAnsi="宋体" w:eastAsia="宋体" w:cs="宋体"/>
          <w:color w:val="auto"/>
          <w:szCs w:val="30"/>
          <w:highlight w:val="none"/>
        </w:rPr>
      </w:pPr>
      <w:r>
        <w:rPr>
          <w:rFonts w:ascii="宋体" w:hAnsi="宋体" w:cs="宋体"/>
          <w:spacing w:val="-4"/>
          <w:kern w:val="0"/>
          <w:szCs w:val="21"/>
          <w:highlight w:val="none"/>
        </w:rPr>
        <w:br w:type="page"/>
      </w:r>
      <w:r>
        <w:rPr>
          <w:rFonts w:hint="eastAsia" w:ascii="宋体" w:hAnsi="宋体" w:cs="宋体"/>
          <w:b/>
          <w:spacing w:val="-4"/>
          <w:kern w:val="0"/>
          <w:sz w:val="28"/>
          <w:szCs w:val="28"/>
          <w:highlight w:val="none"/>
        </w:rPr>
        <w:t>附件：</w:t>
      </w:r>
      <w:r>
        <w:rPr>
          <w:rFonts w:hint="eastAsia" w:cs="宋体"/>
          <w:b/>
          <w:spacing w:val="-4"/>
          <w:kern w:val="0"/>
          <w:sz w:val="28"/>
          <w:szCs w:val="28"/>
          <w:highlight w:val="none"/>
          <w:lang w:val="en-US" w:eastAsia="zh-CN"/>
        </w:rPr>
        <w:t xml:space="preserve">                 </w:t>
      </w:r>
      <w:r>
        <w:rPr>
          <w:rFonts w:hint="eastAsia"/>
          <w:color w:val="auto"/>
          <w:highlight w:val="none"/>
        </w:rPr>
        <w:t>项目管理机构配备情况</w:t>
      </w:r>
    </w:p>
    <w:tbl>
      <w:tblPr>
        <w:tblStyle w:val="63"/>
        <w:tblW w:w="0" w:type="auto"/>
        <w:jc w:val="center"/>
        <w:tblLayout w:type="fixed"/>
        <w:tblCellMar>
          <w:top w:w="0" w:type="dxa"/>
          <w:left w:w="108" w:type="dxa"/>
          <w:bottom w:w="0" w:type="dxa"/>
          <w:right w:w="108" w:type="dxa"/>
        </w:tblCellMar>
      </w:tblPr>
      <w:tblGrid>
        <w:gridCol w:w="1689"/>
        <w:gridCol w:w="1400"/>
        <w:gridCol w:w="280"/>
        <w:gridCol w:w="1250"/>
        <w:gridCol w:w="581"/>
        <w:gridCol w:w="9"/>
        <w:gridCol w:w="995"/>
        <w:gridCol w:w="1050"/>
        <w:gridCol w:w="256"/>
        <w:gridCol w:w="1625"/>
      </w:tblGrid>
      <w:tr>
        <w:tblPrEx>
          <w:tblCellMar>
            <w:top w:w="0" w:type="dxa"/>
            <w:left w:w="108" w:type="dxa"/>
            <w:bottom w:w="0" w:type="dxa"/>
            <w:right w:w="108" w:type="dxa"/>
          </w:tblCellMar>
        </w:tblPrEx>
        <w:trPr>
          <w:trHeight w:val="583" w:hRule="atLeast"/>
          <w:jc w:val="center"/>
        </w:trPr>
        <w:tc>
          <w:tcPr>
            <w:tcW w:w="1689" w:type="dxa"/>
            <w:tcBorders>
              <w:top w:val="single" w:color="auto" w:sz="12" w:space="0"/>
              <w:left w:val="single" w:color="auto" w:sz="12"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1．公司人员</w:t>
            </w:r>
          </w:p>
        </w:tc>
        <w:tc>
          <w:tcPr>
            <w:tcW w:w="7446" w:type="dxa"/>
            <w:gridSpan w:val="9"/>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2160" w:firstLineChars="9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共计：人</w:t>
            </w:r>
          </w:p>
        </w:tc>
      </w:tr>
      <w:tr>
        <w:tblPrEx>
          <w:tblCellMar>
            <w:top w:w="0" w:type="dxa"/>
            <w:left w:w="108" w:type="dxa"/>
            <w:bottom w:w="0" w:type="dxa"/>
            <w:right w:w="108" w:type="dxa"/>
          </w:tblCellMar>
        </w:tblPrEx>
        <w:trPr>
          <w:trHeight w:val="510" w:hRule="atLeast"/>
          <w:jc w:val="center"/>
        </w:trPr>
        <w:tc>
          <w:tcPr>
            <w:tcW w:w="168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其中</w:t>
            </w:r>
          </w:p>
        </w:tc>
        <w:tc>
          <w:tcPr>
            <w:tcW w:w="5565" w:type="dxa"/>
            <w:gridSpan w:val="7"/>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有职称技术的管理人员</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其他管理人员</w:t>
            </w: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高级工程师</w:t>
            </w: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w:t>
            </w: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助理工程师</w:t>
            </w: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技术员</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5565" w:type="dxa"/>
            <w:gridSpan w:val="7"/>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技术工人</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8级以上</w:t>
            </w: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6～8级</w:t>
            </w: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4～6级</w:t>
            </w: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1～3级</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普通工人</w:t>
            </w: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626" w:hRule="atLeast"/>
          <w:jc w:val="center"/>
        </w:trPr>
        <w:tc>
          <w:tcPr>
            <w:tcW w:w="9135" w:type="dxa"/>
            <w:gridSpan w:val="10"/>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445770</wp:posOffset>
                      </wp:positionV>
                      <wp:extent cx="1934210" cy="551815"/>
                      <wp:effectExtent l="1270" t="4445" r="7620" b="15240"/>
                      <wp:wrapNone/>
                      <wp:docPr id="3" name="直接连接符 3"/>
                      <wp:cNvGraphicFramePr/>
                      <a:graphic xmlns:a="http://schemas.openxmlformats.org/drawingml/2006/main">
                        <a:graphicData uri="http://schemas.microsoft.com/office/word/2010/wordprocessingShape">
                          <wps:wsp>
                            <wps:cNvCnPr/>
                            <wps:spPr>
                              <a:xfrm>
                                <a:off x="0" y="0"/>
                                <a:ext cx="1934210" cy="5518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pt;margin-top:35.1pt;height:43.45pt;width:152.3pt;z-index:251660288;mso-width-relative:page;mso-height-relative:page;" filled="f" stroked="t" coordsize="21600,21600" o:gfxdata="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K3+cNcAAAAJAQAADwAAAAAAAAABACAAAAAiAAAAZHJzL2Rvd25yZXYueG1s&#10;UEsBAhQAFAAAAAgAh07iQGTysln5AQAA6QMAAA4AAAAAAAAAAQAgAAAAJg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．拟派往本招标工程项目的管理人员和技术人员</w:t>
            </w:r>
          </w:p>
        </w:tc>
      </w:tr>
      <w:tr>
        <w:tblPrEx>
          <w:tblCellMar>
            <w:top w:w="0" w:type="dxa"/>
            <w:left w:w="108" w:type="dxa"/>
            <w:bottom w:w="0" w:type="dxa"/>
            <w:right w:w="108" w:type="dxa"/>
          </w:tblCellMar>
        </w:tblPrEx>
        <w:trPr>
          <w:trHeight w:val="450" w:hRule="atLeast"/>
          <w:jc w:val="center"/>
        </w:trPr>
        <w:tc>
          <w:tcPr>
            <w:tcW w:w="3089" w:type="dxa"/>
            <w:gridSpan w:val="2"/>
            <w:vMerge w:val="restart"/>
            <w:tcBorders>
              <w:top w:val="single" w:color="auto" w:sz="6" w:space="0"/>
              <w:left w:val="single" w:color="auto" w:sz="12"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1140" w:right="0" w:hanging="1140" w:hangingChars="475"/>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量</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1140" w:right="0" w:hanging="1140" w:hangingChars="475"/>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人员类别</w:t>
            </w:r>
          </w:p>
        </w:tc>
        <w:tc>
          <w:tcPr>
            <w:tcW w:w="6046"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从事本专业工作时间</w:t>
            </w:r>
          </w:p>
        </w:tc>
      </w:tr>
      <w:tr>
        <w:tblPrEx>
          <w:tblCellMar>
            <w:top w:w="0" w:type="dxa"/>
            <w:left w:w="108" w:type="dxa"/>
            <w:bottom w:w="0" w:type="dxa"/>
            <w:right w:w="108" w:type="dxa"/>
          </w:tblCellMar>
        </w:tblPrEx>
        <w:trPr>
          <w:trHeight w:val="450" w:hRule="atLeast"/>
          <w:jc w:val="center"/>
        </w:trPr>
        <w:tc>
          <w:tcPr>
            <w:tcW w:w="3089" w:type="dxa"/>
            <w:gridSpan w:val="2"/>
            <w:vMerge w:val="continue"/>
            <w:tcBorders>
              <w:left w:val="single" w:color="auto" w:sz="12"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1140" w:right="0" w:hanging="1140" w:hangingChars="475"/>
              <w:jc w:val="left"/>
              <w:rPr>
                <w:rFonts w:hint="eastAsia" w:ascii="宋体" w:hAnsi="宋体" w:eastAsia="宋体" w:cs="宋体"/>
                <w:color w:val="auto"/>
                <w:sz w:val="24"/>
                <w:highlight w:val="none"/>
                <w:lang w:val="zh-CN"/>
              </w:rPr>
            </w:pPr>
          </w:p>
        </w:tc>
        <w:tc>
          <w:tcPr>
            <w:tcW w:w="2120"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10年以上</w:t>
            </w:r>
          </w:p>
        </w:tc>
        <w:tc>
          <w:tcPr>
            <w:tcW w:w="2301"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5年至10年</w:t>
            </w:r>
          </w:p>
        </w:tc>
        <w:tc>
          <w:tcPr>
            <w:tcW w:w="162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5年以下</w:t>
            </w:r>
          </w:p>
        </w:tc>
      </w:tr>
      <w:tr>
        <w:tblPrEx>
          <w:tblCellMar>
            <w:top w:w="0" w:type="dxa"/>
            <w:left w:w="108" w:type="dxa"/>
            <w:bottom w:w="0" w:type="dxa"/>
            <w:right w:w="108" w:type="dxa"/>
          </w:tblCellMar>
        </w:tblPrEx>
        <w:trPr>
          <w:trHeight w:val="576"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管理人员(如下所列)</w:t>
            </w: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项目经理</w:t>
            </w: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技术负责人</w:t>
            </w:r>
          </w:p>
        </w:tc>
        <w:tc>
          <w:tcPr>
            <w:tcW w:w="2111"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技术人员(如下所列)</w:t>
            </w: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nil"/>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12"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12"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12"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12" w:space="0"/>
              <w:right w:val="single" w:color="auto" w:sz="12"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bl>
    <w:p>
      <w:pPr>
        <w:pageBreakBefore w:val="0"/>
        <w:kinsoku/>
        <w:wordWrap/>
        <w:overflowPunct/>
        <w:topLinePunct w:val="0"/>
        <w:autoSpaceDE w:val="0"/>
        <w:autoSpaceDN w:val="0"/>
        <w:bidi w:val="0"/>
        <w:adjustRightInd w:val="0"/>
        <w:spacing w:beforeAutospacing="0" w:afterAutospacing="0" w:line="240" w:lineRule="auto"/>
        <w:ind w:firstLine="21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注：表内列举的管理人员、技术人员可随项目类型的不同而变化。</w:t>
      </w:r>
    </w:p>
    <w:p>
      <w:pPr>
        <w:pageBreakBefore w:val="0"/>
        <w:kinsoku/>
        <w:wordWrap/>
        <w:overflowPunct/>
        <w:topLinePunct w:val="0"/>
        <w:autoSpaceDE w:val="0"/>
        <w:autoSpaceDN w:val="0"/>
        <w:bidi w:val="0"/>
        <w:adjustRightInd w:val="0"/>
        <w:spacing w:beforeAutospacing="0" w:afterAutospacing="0" w:line="240" w:lineRule="auto"/>
        <w:ind w:firstLine="328" w:firstLineChars="137"/>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声明：</w:t>
      </w:r>
      <w:bookmarkStart w:id="381" w:name="注投标人声明"/>
      <w:r>
        <w:rPr>
          <w:rFonts w:hint="eastAsia" w:ascii="宋体" w:hAnsi="宋体" w:eastAsia="宋体" w:cs="宋体"/>
          <w:color w:val="auto"/>
          <w:sz w:val="24"/>
          <w:highlight w:val="none"/>
        </w:rPr>
        <w:t>本工程一旦我公司</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，将实行项目经理负责制，并配备上述项目管理班子，上述所报内容真实，若不真实，愿按有关规定接受处理，项目管理班子机构设置、职责分工等情况另附资料说明。</w:t>
      </w:r>
      <w:bookmarkEnd w:id="381"/>
    </w:p>
    <w:p>
      <w:pPr>
        <w:spacing w:line="360" w:lineRule="auto"/>
        <w:ind w:firstLine="546" w:firstLineChars="200"/>
        <w:rPr>
          <w:rFonts w:ascii="宋体" w:hAnsi="宋体" w:cs="宋体"/>
          <w:b/>
          <w:spacing w:val="-4"/>
          <w:kern w:val="0"/>
          <w:sz w:val="28"/>
          <w:szCs w:val="28"/>
          <w:highlight w:val="none"/>
        </w:rPr>
      </w:pPr>
    </w:p>
    <w:p>
      <w:pPr>
        <w:pStyle w:val="24"/>
        <w:rPr>
          <w:rFonts w:ascii="宋体" w:hAnsi="宋体" w:cs="宋体"/>
          <w:b/>
          <w:spacing w:val="-4"/>
          <w:kern w:val="0"/>
          <w:sz w:val="28"/>
          <w:szCs w:val="28"/>
          <w:highlight w:val="none"/>
        </w:rPr>
      </w:pPr>
    </w:p>
    <w:p>
      <w:pPr>
        <w:pStyle w:val="24"/>
        <w:rPr>
          <w:rFonts w:ascii="宋体" w:hAnsi="宋体" w:cs="宋体"/>
          <w:b/>
          <w:spacing w:val="-4"/>
          <w:kern w:val="0"/>
          <w:sz w:val="28"/>
          <w:szCs w:val="28"/>
          <w:highlight w:val="none"/>
        </w:rPr>
      </w:pPr>
    </w:p>
    <w:p>
      <w:pPr>
        <w:spacing w:line="360" w:lineRule="auto"/>
        <w:ind w:left="422"/>
        <w:rPr>
          <w:rFonts w:ascii="宋体" w:hAnsi="宋体"/>
          <w:szCs w:val="21"/>
          <w:highlight w:val="none"/>
        </w:rPr>
      </w:pPr>
      <w:r>
        <w:rPr>
          <w:rFonts w:hint="eastAsia" w:ascii="宋体" w:hAnsi="宋体"/>
          <w:szCs w:val="21"/>
          <w:highlight w:val="none"/>
        </w:rPr>
        <w:t>供应商声明函：</w:t>
      </w:r>
    </w:p>
    <w:p>
      <w:pPr>
        <w:spacing w:line="360" w:lineRule="auto"/>
        <w:ind w:left="422"/>
        <w:jc w:val="center"/>
        <w:rPr>
          <w:rFonts w:ascii="宋体" w:hAnsi="宋体"/>
          <w:b/>
          <w:bCs/>
          <w:color w:val="auto"/>
          <w:szCs w:val="21"/>
          <w:highlight w:val="none"/>
        </w:rPr>
      </w:pPr>
      <w:r>
        <w:rPr>
          <w:rFonts w:hint="eastAsia" w:ascii="宋体" w:hAnsi="宋体"/>
          <w:b/>
          <w:bCs/>
          <w:color w:val="auto"/>
          <w:szCs w:val="21"/>
          <w:highlight w:val="none"/>
        </w:rPr>
        <w:t>供应商声明函</w:t>
      </w:r>
    </w:p>
    <w:p>
      <w:pPr>
        <w:spacing w:line="360" w:lineRule="auto"/>
        <w:ind w:left="422" w:firstLine="420" w:firstLineChars="200"/>
        <w:rPr>
          <w:rFonts w:ascii="宋体" w:hAnsi="宋体"/>
          <w:b/>
          <w:bCs/>
          <w:color w:val="auto"/>
          <w:szCs w:val="21"/>
          <w:highlight w:val="none"/>
        </w:rPr>
      </w:pPr>
      <w:r>
        <w:rPr>
          <w:rFonts w:hint="eastAsia" w:ascii="宋体" w:hAnsi="宋体"/>
          <w:color w:val="auto"/>
          <w:szCs w:val="21"/>
          <w:highlight w:val="none"/>
        </w:rPr>
        <w:t>根据《中华人民共和国政府采购法》及《中华人民共和国政府采购法实施条例》 的规定，</w:t>
      </w:r>
      <w:r>
        <w:rPr>
          <w:rFonts w:hint="default" w:ascii="宋体" w:hAnsi="宋体"/>
          <w:b/>
          <w:bCs/>
          <w:color w:val="auto"/>
          <w:szCs w:val="21"/>
          <w:highlight w:val="none"/>
          <w:lang w:val="en-US"/>
        </w:rPr>
        <w:t>1</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 xml:space="preserve">本单位郑重声明：                                                   </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 xml:space="preserve">（1）具有独立承担民事责任的能力；                                          </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 xml:space="preserve">（2）具有良好的商业信誉和健全的财务会计制度；                              </w:t>
      </w:r>
    </w:p>
    <w:p>
      <w:pPr>
        <w:spacing w:line="360" w:lineRule="auto"/>
        <w:ind w:left="420" w:leftChars="200" w:firstLine="420" w:firstLineChars="200"/>
        <w:rPr>
          <w:rFonts w:ascii="宋体" w:hAnsi="宋体"/>
          <w:color w:val="auto"/>
          <w:szCs w:val="21"/>
          <w:highlight w:val="none"/>
        </w:rPr>
      </w:pPr>
      <w:r>
        <w:rPr>
          <w:rFonts w:hint="eastAsia" w:ascii="宋体" w:hAnsi="宋体"/>
          <w:color w:val="auto"/>
          <w:szCs w:val="21"/>
          <w:highlight w:val="none"/>
        </w:rPr>
        <w:t xml:space="preserve">（3）具有履行合同所必需的设备和专业技术能力；                              </w:t>
      </w:r>
    </w:p>
    <w:p>
      <w:pPr>
        <w:spacing w:line="360" w:lineRule="auto"/>
        <w:ind w:left="420" w:leftChars="200" w:firstLine="420" w:firstLineChars="200"/>
        <w:rPr>
          <w:rFonts w:ascii="宋体" w:hAnsi="宋体"/>
          <w:color w:val="auto"/>
          <w:szCs w:val="21"/>
          <w:highlight w:val="none"/>
        </w:rPr>
      </w:pPr>
      <w:r>
        <w:rPr>
          <w:rFonts w:hint="eastAsia" w:ascii="宋体" w:hAnsi="宋体"/>
          <w:color w:val="auto"/>
          <w:szCs w:val="21"/>
          <w:highlight w:val="none"/>
        </w:rPr>
        <w:t xml:space="preserve">（4）有依法缴纳税收和社会保障资金的良好记录；                              </w:t>
      </w:r>
    </w:p>
    <w:p>
      <w:pPr>
        <w:spacing w:line="360" w:lineRule="auto"/>
        <w:ind w:left="420" w:leftChars="200" w:firstLine="420" w:firstLineChars="200"/>
        <w:rPr>
          <w:rFonts w:ascii="宋体" w:hAnsi="宋体"/>
          <w:color w:val="auto"/>
          <w:szCs w:val="21"/>
          <w:highlight w:val="none"/>
        </w:rPr>
      </w:pPr>
      <w:r>
        <w:rPr>
          <w:rFonts w:hint="eastAsia" w:ascii="宋体" w:hAnsi="宋体"/>
          <w:color w:val="auto"/>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（6）我单位不在财政部门依法作出的禁止参加政府采购活动的行政处罚期限内；</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val="en-US" w:eastAsia="zh-CN"/>
        </w:rPr>
        <w:t>不存在竞争性磋商须知3.</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.1和3.</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.2情形；</w:t>
      </w:r>
      <w:r>
        <w:rPr>
          <w:rFonts w:hint="eastAsia" w:ascii="宋体" w:hAnsi="宋体" w:eastAsia="宋体" w:cs="Times New Roman"/>
          <w:color w:val="auto"/>
          <w:szCs w:val="21"/>
          <w:highlight w:val="none"/>
        </w:rPr>
        <w:t xml:space="preserve">    </w:t>
      </w:r>
    </w:p>
    <w:p>
      <w:pPr>
        <w:spacing w:line="360" w:lineRule="auto"/>
        <w:ind w:left="420" w:leftChars="200" w:firstLine="420" w:firstLineChars="200"/>
        <w:rPr>
          <w:rFonts w:hint="eastAsia" w:ascii="宋体" w:hAnsi="宋体"/>
          <w:color w:val="auto"/>
          <w:szCs w:val="21"/>
          <w:highlight w:val="none"/>
        </w:rPr>
      </w:pPr>
      <w:r>
        <w:rPr>
          <w:rFonts w:hint="eastAsia" w:ascii="宋体" w:hAnsi="宋体"/>
          <w:color w:val="auto"/>
          <w:szCs w:val="21"/>
          <w:highlight w:val="none"/>
        </w:rPr>
        <w:t>（7）符合法律、行政法规规定的其他条件。</w:t>
      </w:r>
    </w:p>
    <w:p>
      <w:pPr>
        <w:tabs>
          <w:tab w:val="left" w:pos="604"/>
        </w:tabs>
        <w:spacing w:line="360" w:lineRule="auto"/>
        <w:ind w:firstLine="422" w:firstLineChars="200"/>
        <w:rPr>
          <w:rFonts w:hint="eastAsia" w:ascii="宋体" w:hAnsi="宋体"/>
          <w:b/>
          <w:bCs/>
          <w:color w:val="auto"/>
          <w:szCs w:val="21"/>
          <w:highlight w:val="none"/>
        </w:rPr>
      </w:pPr>
      <w:r>
        <w:rPr>
          <w:rFonts w:hint="default" w:ascii="宋体" w:hAnsi="宋体"/>
          <w:b/>
          <w:bCs/>
          <w:color w:val="auto"/>
          <w:szCs w:val="21"/>
          <w:highlight w:val="none"/>
          <w:lang w:val="en-US"/>
        </w:rPr>
        <w:t>2</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本单位郑重声明，我单位无以下不良信用记录情形：</w:t>
      </w:r>
    </w:p>
    <w:p>
      <w:pPr>
        <w:spacing w:line="360" w:lineRule="auto"/>
        <w:ind w:left="422" w:firstLine="420" w:firstLineChars="200"/>
        <w:rPr>
          <w:rFonts w:hint="eastAsia" w:ascii="宋体" w:hAnsi="宋体"/>
          <w:color w:val="auto"/>
          <w:szCs w:val="21"/>
          <w:highlight w:val="none"/>
        </w:rPr>
      </w:pPr>
      <w:r>
        <w:rPr>
          <w:rFonts w:hint="eastAsia" w:ascii="宋体" w:hAnsi="宋体"/>
          <w:color w:val="auto"/>
          <w:szCs w:val="21"/>
          <w:highlight w:val="none"/>
        </w:rPr>
        <w:t>（1）被人民法院列入失信被执行人；</w:t>
      </w:r>
    </w:p>
    <w:p>
      <w:pPr>
        <w:spacing w:line="360" w:lineRule="auto"/>
        <w:ind w:left="422" w:firstLine="420" w:firstLineChars="200"/>
        <w:rPr>
          <w:rFonts w:hint="eastAsia" w:ascii="宋体" w:hAnsi="宋体"/>
          <w:color w:val="auto"/>
          <w:szCs w:val="21"/>
          <w:highlight w:val="none"/>
        </w:rPr>
      </w:pPr>
      <w:r>
        <w:rPr>
          <w:rFonts w:hint="eastAsia" w:ascii="宋体" w:hAnsi="宋体"/>
          <w:color w:val="auto"/>
          <w:szCs w:val="21"/>
          <w:highlight w:val="none"/>
        </w:rPr>
        <w:t>（2）单位、法定代表人或拟派项目经理（项目负责人）被人民检察院列入行贿犯罪档案；</w:t>
      </w:r>
    </w:p>
    <w:p>
      <w:pPr>
        <w:spacing w:line="360" w:lineRule="auto"/>
        <w:ind w:left="422" w:firstLine="420" w:firstLineChars="200"/>
        <w:rPr>
          <w:rFonts w:hint="eastAsia" w:ascii="宋体" w:hAnsi="宋体"/>
          <w:color w:val="auto"/>
          <w:szCs w:val="21"/>
          <w:highlight w:val="none"/>
        </w:rPr>
      </w:pPr>
      <w:r>
        <w:rPr>
          <w:rFonts w:hint="eastAsia" w:ascii="宋体" w:hAnsi="宋体"/>
          <w:color w:val="auto"/>
          <w:szCs w:val="21"/>
          <w:highlight w:val="none"/>
        </w:rPr>
        <w:t>（3）被</w:t>
      </w:r>
      <w:r>
        <w:rPr>
          <w:rFonts w:hint="eastAsia" w:ascii="宋体" w:hAnsi="宋体"/>
          <w:color w:val="auto"/>
          <w:szCs w:val="21"/>
          <w:highlight w:val="none"/>
          <w:lang w:val="en-US" w:eastAsia="zh-CN"/>
        </w:rPr>
        <w:t>市场监督管理</w:t>
      </w:r>
      <w:r>
        <w:rPr>
          <w:rFonts w:hint="eastAsia" w:ascii="宋体" w:hAnsi="宋体"/>
          <w:color w:val="auto"/>
          <w:szCs w:val="21"/>
          <w:highlight w:val="none"/>
        </w:rPr>
        <w:t>部门列入企业经营异常名录；</w:t>
      </w:r>
    </w:p>
    <w:p>
      <w:pPr>
        <w:spacing w:line="360" w:lineRule="auto"/>
        <w:ind w:left="422" w:firstLine="420" w:firstLineChars="200"/>
        <w:rPr>
          <w:rFonts w:hint="eastAsia" w:ascii="宋体" w:hAnsi="宋体"/>
          <w:color w:val="auto"/>
          <w:szCs w:val="21"/>
          <w:highlight w:val="none"/>
        </w:rPr>
      </w:pPr>
      <w:r>
        <w:rPr>
          <w:rFonts w:hint="eastAsia" w:ascii="宋体" w:hAnsi="宋体"/>
          <w:color w:val="auto"/>
          <w:szCs w:val="21"/>
          <w:highlight w:val="none"/>
        </w:rPr>
        <w:t>（4）被税务部门列入重大税收违法案件当事人名单；</w:t>
      </w:r>
    </w:p>
    <w:p>
      <w:pPr>
        <w:spacing w:line="360" w:lineRule="auto"/>
        <w:ind w:left="422" w:firstLine="420" w:firstLineChars="200"/>
        <w:rPr>
          <w:rFonts w:hint="eastAsia" w:ascii="宋体" w:hAnsi="宋体"/>
          <w:color w:val="auto"/>
          <w:szCs w:val="21"/>
          <w:highlight w:val="none"/>
        </w:rPr>
      </w:pPr>
      <w:r>
        <w:rPr>
          <w:rFonts w:hint="eastAsia" w:ascii="宋体" w:hAnsi="宋体"/>
          <w:color w:val="auto"/>
          <w:szCs w:val="21"/>
          <w:highlight w:val="none"/>
        </w:rPr>
        <w:t>（5）被政府采购监管部门列入政府采购严重违法失信行为记录名单。</w:t>
      </w:r>
    </w:p>
    <w:p>
      <w:pPr>
        <w:spacing w:line="360" w:lineRule="auto"/>
        <w:ind w:left="420" w:leftChars="200" w:firstLine="420" w:firstLineChars="200"/>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供应商公章：_______________________                                           </w:t>
      </w:r>
    </w:p>
    <w:p>
      <w:pPr>
        <w:spacing w:line="360" w:lineRule="auto"/>
        <w:jc w:val="center"/>
        <w:outlineLvl w:val="2"/>
        <w:rPr>
          <w:rFonts w:ascii="宋体" w:hAnsi="宋体" w:cs="宋体"/>
          <w:b/>
          <w:spacing w:val="-4"/>
          <w:kern w:val="0"/>
          <w:sz w:val="28"/>
          <w:szCs w:val="28"/>
          <w:highlight w:val="none"/>
        </w:rPr>
      </w:pPr>
      <w:r>
        <w:rPr>
          <w:rFonts w:hint="eastAsia" w:hAnsi="宋体"/>
          <w:color w:val="auto"/>
          <w:szCs w:val="21"/>
          <w:highlight w:val="none"/>
        </w:rPr>
        <w:t xml:space="preserve">               </w:t>
      </w:r>
      <w:r>
        <w:rPr>
          <w:rFonts w:hAnsi="宋体"/>
          <w:color w:val="auto"/>
          <w:szCs w:val="21"/>
          <w:highlight w:val="none"/>
        </w:rPr>
        <w:t xml:space="preserve">                                 </w:t>
      </w:r>
      <w:r>
        <w:rPr>
          <w:rFonts w:hint="eastAsia" w:hAnsi="宋体"/>
          <w:color w:val="auto"/>
          <w:szCs w:val="21"/>
          <w:highlight w:val="none"/>
        </w:rPr>
        <w:t xml:space="preserve"> 日期：       年     月     日</w:t>
      </w:r>
    </w:p>
    <w:p>
      <w:pPr>
        <w:pStyle w:val="4"/>
        <w:pageBreakBefore w:val="0"/>
        <w:kinsoku/>
        <w:wordWrap/>
        <w:overflowPunct/>
        <w:topLinePunct w:val="0"/>
        <w:bidi w:val="0"/>
        <w:spacing w:line="240" w:lineRule="auto"/>
        <w:rPr>
          <w:rFonts w:hint="eastAsia" w:ascii="宋体" w:hAnsi="宋体" w:eastAsia="宋体" w:cs="宋体"/>
          <w:color w:val="auto"/>
          <w:szCs w:val="30"/>
          <w:highlight w:val="none"/>
        </w:rPr>
      </w:pPr>
      <w:r>
        <w:rPr>
          <w:rFonts w:hint="eastAsia"/>
          <w:color w:val="auto"/>
          <w:highlight w:val="none"/>
        </w:rPr>
        <w:t>拟派项目经理简历</w:t>
      </w:r>
    </w:p>
    <w:tbl>
      <w:tblPr>
        <w:tblStyle w:val="63"/>
        <w:tblW w:w="9440" w:type="dxa"/>
        <w:jc w:val="center"/>
        <w:tblLayout w:type="fixed"/>
        <w:tblCellMar>
          <w:top w:w="0" w:type="dxa"/>
          <w:left w:w="28" w:type="dxa"/>
          <w:bottom w:w="0" w:type="dxa"/>
          <w:right w:w="28" w:type="dxa"/>
        </w:tblCellMar>
      </w:tblPr>
      <w:tblGrid>
        <w:gridCol w:w="1300"/>
        <w:gridCol w:w="910"/>
        <w:gridCol w:w="330"/>
        <w:gridCol w:w="2610"/>
        <w:gridCol w:w="1155"/>
        <w:gridCol w:w="3135"/>
      </w:tblGrid>
      <w:tr>
        <w:tblPrEx>
          <w:tblCellMar>
            <w:top w:w="0" w:type="dxa"/>
            <w:left w:w="28" w:type="dxa"/>
            <w:bottom w:w="0" w:type="dxa"/>
            <w:right w:w="28" w:type="dxa"/>
          </w:tblCellMar>
        </w:tblPrEx>
        <w:trPr>
          <w:trHeight w:val="870" w:hRule="atLeast"/>
          <w:jc w:val="center"/>
        </w:trPr>
        <w:tc>
          <w:tcPr>
            <w:tcW w:w="2210" w:type="dxa"/>
            <w:gridSpan w:val="2"/>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拟任职位</w:t>
            </w:r>
          </w:p>
        </w:tc>
        <w:tc>
          <w:tcPr>
            <w:tcW w:w="7230" w:type="dxa"/>
            <w:gridSpan w:val="4"/>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姓名</w:t>
            </w:r>
          </w:p>
        </w:tc>
        <w:tc>
          <w:tcPr>
            <w:tcW w:w="294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出生年月</w:t>
            </w:r>
          </w:p>
        </w:tc>
        <w:tc>
          <w:tcPr>
            <w:tcW w:w="3135"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480" w:firstLineChars="20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执业或职业资格</w:t>
            </w:r>
          </w:p>
        </w:tc>
        <w:tc>
          <w:tcPr>
            <w:tcW w:w="7230" w:type="dxa"/>
            <w:gridSpan w:val="4"/>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学历</w:t>
            </w:r>
          </w:p>
        </w:tc>
        <w:tc>
          <w:tcPr>
            <w:tcW w:w="294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职称</w:t>
            </w:r>
          </w:p>
        </w:tc>
        <w:tc>
          <w:tcPr>
            <w:tcW w:w="3135"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nil"/>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职务</w:t>
            </w:r>
          </w:p>
        </w:tc>
        <w:tc>
          <w:tcPr>
            <w:tcW w:w="294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工作年限</w:t>
            </w:r>
          </w:p>
        </w:tc>
        <w:tc>
          <w:tcPr>
            <w:tcW w:w="3135"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自</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至</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auto"/>
                <w:sz w:val="24"/>
                <w:highlight w:val="none"/>
                <w:lang w:val="zh-CN"/>
              </w:rPr>
            </w:pPr>
            <w:r>
              <w:rPr>
                <w:rFonts w:hint="eastAsia" w:ascii="宋体" w:hAnsi="宋体" w:eastAsia="宋体" w:cs="宋体"/>
                <w:color w:val="auto"/>
                <w:sz w:val="24"/>
                <w:highlight w:val="none"/>
              </w:rPr>
              <w:t>主要经验及承担的项目</w:t>
            </w: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240" w:firstLineChars="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kern w:val="0"/>
                <w:sz w:val="24"/>
                <w:highlight w:val="none"/>
                <w:lang w:val="zh-CN"/>
              </w:rPr>
            </w:pPr>
          </w:p>
        </w:tc>
      </w:tr>
      <w:tr>
        <w:tblPrEx>
          <w:tblCellMar>
            <w:top w:w="0" w:type="dxa"/>
            <w:left w:w="28" w:type="dxa"/>
            <w:bottom w:w="0" w:type="dxa"/>
            <w:right w:w="28" w:type="dxa"/>
          </w:tblCellMar>
        </w:tblPrEx>
        <w:trPr>
          <w:trHeight w:val="1485" w:hRule="atLeast"/>
          <w:jc w:val="center"/>
        </w:trPr>
        <w:tc>
          <w:tcPr>
            <w:tcW w:w="2540" w:type="dxa"/>
            <w:gridSpan w:val="3"/>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说明在岗情况</w:t>
            </w:r>
          </w:p>
        </w:tc>
        <w:tc>
          <w:tcPr>
            <w:tcW w:w="6900"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响应文件提交截止</w:t>
            </w:r>
            <w:r>
              <w:rPr>
                <w:rFonts w:hint="eastAsia" w:ascii="宋体" w:hAnsi="宋体" w:eastAsia="宋体" w:cs="宋体"/>
                <w:color w:val="auto"/>
                <w:kern w:val="0"/>
                <w:sz w:val="24"/>
                <w:szCs w:val="24"/>
                <w:highlight w:val="none"/>
                <w:lang w:val="en-US" w:eastAsia="zh-CN" w:bidi="ar"/>
              </w:rPr>
              <w:t>日未在其他项目担任项目经理，现从事工作为：</w:t>
            </w:r>
            <w:r>
              <w:rPr>
                <w:rFonts w:hint="default" w:ascii="Times New Roman" w:hAnsi="Times New Roman" w:eastAsia="宋体" w:cs="Times New Roman"/>
                <w:color w:val="auto"/>
                <w:kern w:val="0"/>
                <w:sz w:val="24"/>
                <w:szCs w:val="24"/>
                <w:highlight w:val="none"/>
                <w:lang w:val="en-US" w:eastAsia="zh-CN" w:bidi="ar"/>
              </w:rPr>
              <w:t xml:space="preserve">______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auto"/>
                <w:sz w:val="24"/>
                <w:szCs w:val="24"/>
                <w:highlight w:val="none"/>
              </w:rPr>
            </w:pPr>
            <w:r>
              <w:rPr>
                <w:rFonts w:hint="eastAsia" w:ascii="宋体" w:hAnsi="宋体" w:eastAsia="宋体" w:cs="宋体"/>
                <w:color w:val="auto"/>
                <w:kern w:val="0"/>
                <w:sz w:val="24"/>
                <w:szCs w:val="24"/>
                <w:highlight w:val="none"/>
                <w:lang w:val="en-US" w:eastAsia="zh-CN" w:bidi="ar"/>
              </w:rPr>
              <w:sym w:font="Wingdings 2" w:char="00A3"/>
            </w:r>
            <w:r>
              <w:rPr>
                <w:rFonts w:hint="eastAsia" w:ascii="宋体" w:hAnsi="宋体" w:eastAsia="宋体" w:cs="宋体"/>
                <w:color w:val="auto"/>
                <w:kern w:val="0"/>
                <w:sz w:val="24"/>
                <w:szCs w:val="24"/>
                <w:highlight w:val="none"/>
                <w:lang w:val="en-US" w:eastAsia="zh-CN" w:bidi="ar"/>
              </w:rPr>
              <w:t xml:space="preserve">虽在其他项目上担任项目经理岗位，但承诺在本项目成交后合同签订前能够从其他项目变更至本项目并全面履约。目前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任职项目：</w:t>
            </w:r>
            <w:r>
              <w:rPr>
                <w:rFonts w:hint="default" w:ascii="Times New Roman" w:hAnsi="Times New Roman" w:eastAsia="宋体" w:cs="Times New Roman"/>
                <w:color w:val="auto"/>
                <w:kern w:val="0"/>
                <w:sz w:val="24"/>
                <w:szCs w:val="24"/>
                <w:highlight w:val="none"/>
                <w:lang w:val="en-US" w:eastAsia="zh-CN" w:bidi="ar"/>
              </w:rPr>
              <w:t>________________________</w:t>
            </w:r>
            <w:r>
              <w:rPr>
                <w:rFonts w:hint="eastAsia" w:ascii="宋体" w:hAnsi="宋体" w:eastAsia="宋体" w:cs="宋体"/>
                <w:color w:val="auto"/>
                <w:kern w:val="0"/>
                <w:sz w:val="24"/>
                <w:szCs w:val="24"/>
                <w:highlight w:val="none"/>
                <w:lang w:val="en-US" w:eastAsia="zh-CN" w:bidi="ar"/>
              </w:rPr>
              <w:t xml:space="preserve">。 </w:t>
            </w:r>
          </w:p>
        </w:tc>
      </w:tr>
    </w:tbl>
    <w:p>
      <w:pPr>
        <w:pageBreakBefore w:val="0"/>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提供主要人员的专业经验,特别须注明其在技术及管理方面与本工程相类似的特殊经验。</w:t>
      </w:r>
    </w:p>
    <w:p>
      <w:pPr>
        <w:pageBreakBefore w:val="0"/>
        <w:numPr>
          <w:ilvl w:val="0"/>
          <w:numId w:val="10"/>
        </w:numPr>
        <w:kinsoku/>
        <w:wordWrap/>
        <w:overflowPunct/>
        <w:topLinePunct w:val="0"/>
        <w:autoSpaceDE w:val="0"/>
        <w:autoSpaceDN w:val="0"/>
        <w:bidi w:val="0"/>
        <w:adjustRightInd w:val="0"/>
        <w:spacing w:beforeAutospacing="0" w:afterAutospacing="0" w:line="240" w:lineRule="auto"/>
        <w:ind w:left="0" w:leftChars="0" w:firstLine="360" w:firstLineChars="150"/>
        <w:jc w:val="left"/>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须提供拟派往本招标工程的项目经理身份证</w:t>
      </w:r>
      <w:r>
        <w:rPr>
          <w:rFonts w:hint="eastAsia" w:ascii="宋体" w:hAnsi="宋体" w:eastAsia="宋体" w:cs="宋体"/>
          <w:color w:val="auto"/>
          <w:sz w:val="24"/>
          <w:highlight w:val="none"/>
          <w:lang w:val="en-US" w:eastAsia="zh-CN"/>
        </w:rPr>
        <w:t>复印件或</w:t>
      </w:r>
      <w:r>
        <w:rPr>
          <w:rFonts w:hint="eastAsia" w:ascii="宋体" w:hAnsi="宋体" w:eastAsia="宋体" w:cs="宋体"/>
          <w:color w:val="auto"/>
          <w:sz w:val="24"/>
          <w:highlight w:val="none"/>
        </w:rPr>
        <w:t>影印件或扫描件</w:t>
      </w:r>
      <w:r>
        <w:rPr>
          <w:rFonts w:hint="eastAsia" w:ascii="宋体" w:hAnsi="宋体" w:eastAsia="宋体" w:cs="宋体"/>
          <w:color w:val="auto"/>
          <w:sz w:val="24"/>
          <w:highlight w:val="none"/>
          <w:lang w:val="zh-CN"/>
        </w:rPr>
        <w:t>。</w:t>
      </w:r>
    </w:p>
    <w:p>
      <w:pPr>
        <w:pageBreakBefore w:val="0"/>
        <w:numPr>
          <w:ilvl w:val="0"/>
          <w:numId w:val="10"/>
        </w:numPr>
        <w:kinsoku/>
        <w:wordWrap/>
        <w:overflowPunct/>
        <w:topLinePunct w:val="0"/>
        <w:autoSpaceDE w:val="0"/>
        <w:autoSpaceDN w:val="0"/>
        <w:bidi w:val="0"/>
        <w:adjustRightInd w:val="0"/>
        <w:spacing w:beforeAutospacing="0" w:afterAutospacing="0" w:line="240" w:lineRule="auto"/>
        <w:ind w:left="0" w:leftChars="0" w:firstLine="360" w:firstLineChars="15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说明在岗情况仅须拟派项目经理提供。</w:t>
      </w:r>
    </w:p>
    <w:p>
      <w:pPr>
        <w:pStyle w:val="4"/>
        <w:pageBreakBefore w:val="0"/>
        <w:kinsoku/>
        <w:wordWrap/>
        <w:overflowPunct/>
        <w:topLinePunct w:val="0"/>
        <w:bidi w:val="0"/>
        <w:spacing w:line="240" w:lineRule="auto"/>
        <w:rPr>
          <w:rFonts w:hint="eastAsia"/>
          <w:b/>
          <w:color w:val="auto"/>
          <w:highlight w:val="none"/>
          <w:lang w:eastAsia="zh-CN"/>
        </w:rPr>
      </w:pPr>
      <w:r>
        <w:rPr>
          <w:rFonts w:hint="eastAsia"/>
          <w:b/>
          <w:color w:val="auto"/>
          <w:highlight w:val="none"/>
          <w:lang w:val="en-US" w:eastAsia="zh-CN"/>
        </w:rPr>
        <w:t>项目经理承诺</w:t>
      </w:r>
    </w:p>
    <w:p>
      <w:pPr>
        <w:keepNext w:val="0"/>
        <w:keepLines w:val="0"/>
        <w:pageBreakBefore w:val="0"/>
        <w:widowControl/>
        <w:suppressLineNumbers w:val="0"/>
        <w:kinsoku/>
        <w:wordWrap/>
        <w:overflowPunct/>
        <w:topLinePunct w:val="0"/>
        <w:autoSpaceDE/>
        <w:autoSpaceDN/>
        <w:bidi w:val="0"/>
        <w:adjustRightInd/>
        <w:snapToGrid/>
        <w:spacing w:line="600" w:lineRule="auto"/>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致：______________(</w:t>
      </w:r>
      <w:r>
        <w:rPr>
          <w:rFonts w:hint="eastAsia" w:ascii="宋体" w:hAnsi="宋体" w:cs="宋体"/>
          <w:color w:val="auto"/>
          <w:kern w:val="0"/>
          <w:sz w:val="24"/>
          <w:szCs w:val="24"/>
          <w:highlight w:val="none"/>
          <w:lang w:val="en-US" w:eastAsia="zh-CN" w:bidi="ar"/>
        </w:rPr>
        <w:t>采购人</w:t>
      </w:r>
      <w:r>
        <w:rPr>
          <w:rFonts w:hint="eastAsia" w:ascii="宋体" w:hAnsi="宋体" w:eastAsia="宋体" w:cs="宋体"/>
          <w:color w:val="auto"/>
          <w:kern w:val="0"/>
          <w:sz w:val="24"/>
          <w:szCs w:val="24"/>
          <w:highlight w:val="none"/>
          <w:lang w:val="en-US" w:eastAsia="zh-CN" w:bidi="ar"/>
        </w:rPr>
        <w:t xml:space="preserve">名称)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本人作为拟委任的项目经理，现郑重承诺如下：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一、</w:t>
      </w:r>
      <w:r>
        <w:rPr>
          <w:rFonts w:hint="eastAsia" w:ascii="宋体" w:hAnsi="宋体" w:cs="宋体"/>
          <w:color w:val="auto"/>
          <w:kern w:val="0"/>
          <w:sz w:val="24"/>
          <w:szCs w:val="24"/>
          <w:highlight w:val="none"/>
          <w:lang w:val="en-US" w:eastAsia="zh-CN" w:bidi="ar"/>
        </w:rPr>
        <w:t>磋商响应文件</w:t>
      </w:r>
      <w:r>
        <w:rPr>
          <w:rFonts w:hint="eastAsia" w:ascii="宋体" w:hAnsi="宋体" w:eastAsia="宋体" w:cs="宋体"/>
          <w:color w:val="auto"/>
          <w:kern w:val="0"/>
          <w:sz w:val="24"/>
          <w:szCs w:val="24"/>
          <w:highlight w:val="none"/>
          <w:lang w:val="en-US" w:eastAsia="zh-CN" w:bidi="ar"/>
        </w:rPr>
        <w:t xml:space="preserve">中提供的项目经理业绩已经本人核实，工程实施过程中项目经理确为本人，真实无误，不存在虚假和挂靠现象，也不存在为投标而造假的行为。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二、响应文件提交截止日未在其他项目担任项目经理，或虽在其他项目上担任项目经理岗位，但承诺在本项目成交后合同签订前能够从其他项目变更至本项目并全面履约。</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三、以上承诺如果发现虚假现象，本人愿意承担相应法律责任，并随时无条件配合贵方调查取证。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righ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项目经理：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（签字） </w:t>
      </w:r>
    </w:p>
    <w:p>
      <w:pPr>
        <w:keepNext w:val="0"/>
        <w:keepLines w:val="0"/>
        <w:pageBreakBefore w:val="0"/>
        <w:widowControl/>
        <w:suppressLineNumbers w:val="0"/>
        <w:kinsoku/>
        <w:wordWrap/>
        <w:overflowPunct/>
        <w:topLinePunct w:val="0"/>
        <w:autoSpaceDE/>
        <w:autoSpaceDN/>
        <w:bidi w:val="0"/>
        <w:adjustRightInd/>
        <w:snapToGrid/>
        <w:spacing w:line="6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身份证号：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center"/>
        <w:textAlignment w:val="auto"/>
        <w:rPr>
          <w:rFonts w:hint="default" w:ascii="宋体" w:hAnsi="宋体" w:eastAsia="宋体" w:cs="宋体"/>
          <w:color w:val="auto"/>
          <w:kern w:val="0"/>
          <w:sz w:val="24"/>
          <w:szCs w:val="24"/>
          <w:highlight w:val="none"/>
          <w:u w:val="single"/>
          <w:lang w:val="en-US" w:eastAsia="zh-CN" w:bidi="ar"/>
        </w:rPr>
      </w:pPr>
      <w:r>
        <w:rPr>
          <w:rFonts w:hint="eastAsia" w:ascii="Times New Roman" w:hAnsi="Times New Roman" w:eastAsia="宋体" w:cs="Times New Roman"/>
          <w:b w:val="0"/>
          <w:bCs w:val="0"/>
          <w:color w:val="auto"/>
          <w:kern w:val="2"/>
          <w:sz w:val="24"/>
          <w:szCs w:val="24"/>
          <w:highlight w:val="none"/>
          <w:lang w:val="en-US" w:eastAsia="zh-CN" w:bidi="ar-SA"/>
        </w:rPr>
        <w:t xml:space="preserve">                           投 标 人： </w:t>
      </w:r>
      <w:r>
        <w:rPr>
          <w:rFonts w:hint="eastAsia" w:ascii="宋体" w:hAnsi="宋体" w:eastAsia="宋体" w:cs="宋体"/>
          <w:color w:val="auto"/>
          <w:kern w:val="0"/>
          <w:sz w:val="24"/>
          <w:szCs w:val="24"/>
          <w:highlight w:val="none"/>
          <w:u w:val="single"/>
          <w:lang w:val="en-US" w:eastAsia="zh-CN" w:bidi="ar"/>
        </w:rPr>
        <w:t xml:space="preserve">              </w:t>
      </w:r>
      <w:r>
        <w:rPr>
          <w:rFonts w:hint="eastAsia" w:ascii="Times New Roman" w:hAnsi="Times New Roman" w:eastAsia="宋体" w:cs="Times New Roman"/>
          <w:b w:val="0"/>
          <w:bCs w:val="0"/>
          <w:color w:val="auto"/>
          <w:kern w:val="2"/>
          <w:sz w:val="24"/>
          <w:szCs w:val="24"/>
          <w:highlight w:val="none"/>
          <w:lang w:val="en-US" w:eastAsia="zh-CN" w:bidi="ar-SA"/>
        </w:rPr>
        <w:t>（盖公章）</w:t>
      </w:r>
    </w:p>
    <w:p>
      <w:pPr>
        <w:pStyle w:val="24"/>
        <w:jc w:val="righ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日期：_____年____月____日 </w:t>
      </w: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numPr>
          <w:ilvl w:val="0"/>
          <w:numId w:val="0"/>
        </w:numPr>
        <w:tabs>
          <w:tab w:val="left" w:pos="6720"/>
        </w:tabs>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磋商报价编制人信息表</w:t>
      </w:r>
    </w:p>
    <w:tbl>
      <w:tblPr>
        <w:tblStyle w:val="64"/>
        <w:tblW w:w="9606"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609"/>
        <w:gridCol w:w="1847"/>
        <w:gridCol w:w="1547"/>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序号</w:t>
            </w:r>
          </w:p>
        </w:tc>
        <w:tc>
          <w:tcPr>
            <w:tcW w:w="1609" w:type="dxa"/>
            <w:noWrap w:val="0"/>
            <w:vAlign w:val="center"/>
          </w:tcPr>
          <w:p>
            <w:pPr>
              <w:numPr>
                <w:ilvl w:val="0"/>
                <w:numId w:val="0"/>
              </w:numPr>
              <w:jc w:val="center"/>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姓名</w:t>
            </w:r>
          </w:p>
        </w:tc>
        <w:tc>
          <w:tcPr>
            <w:tcW w:w="1847" w:type="dxa"/>
            <w:noWrap w:val="0"/>
            <w:vAlign w:val="center"/>
          </w:tcPr>
          <w:p>
            <w:pPr>
              <w:numPr>
                <w:ilvl w:val="0"/>
                <w:numId w:val="0"/>
              </w:numPr>
              <w:jc w:val="center"/>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身份证号码</w:t>
            </w:r>
          </w:p>
        </w:tc>
        <w:tc>
          <w:tcPr>
            <w:tcW w:w="1547" w:type="dxa"/>
            <w:noWrap w:val="0"/>
            <w:vAlign w:val="center"/>
          </w:tcPr>
          <w:p>
            <w:pPr>
              <w:numPr>
                <w:ilvl w:val="0"/>
                <w:numId w:val="0"/>
              </w:numPr>
              <w:jc w:val="center"/>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手机号码</w:t>
            </w:r>
          </w:p>
        </w:tc>
        <w:tc>
          <w:tcPr>
            <w:tcW w:w="19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单位名称</w:t>
            </w:r>
          </w:p>
        </w:tc>
        <w:tc>
          <w:tcPr>
            <w:tcW w:w="19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注册造价工程师注册证书号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753"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609"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847"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547"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925" w:type="dxa"/>
            <w:noWrap w:val="0"/>
            <w:vAlign w:val="top"/>
          </w:tcPr>
          <w:p>
            <w:pPr>
              <w:numPr>
                <w:ilvl w:val="0"/>
                <w:numId w:val="0"/>
              </w:numPr>
              <w:jc w:val="center"/>
              <w:rPr>
                <w:rFonts w:hint="default" w:ascii="仿宋_GB2312" w:hAnsi="仿宋_GB2312" w:eastAsia="仿宋_GB2312" w:cs="仿宋_GB2312"/>
                <w:sz w:val="24"/>
                <w:szCs w:val="24"/>
                <w:highlight w:val="none"/>
                <w:vertAlign w:val="baseline"/>
                <w:lang w:val="en-US" w:eastAsia="zh-CN"/>
              </w:rPr>
            </w:pPr>
          </w:p>
        </w:tc>
        <w:tc>
          <w:tcPr>
            <w:tcW w:w="1925" w:type="dxa"/>
            <w:noWrap w:val="0"/>
            <w:vAlign w:val="top"/>
          </w:tcPr>
          <w:p>
            <w:pPr>
              <w:numPr>
                <w:ilvl w:val="0"/>
                <w:numId w:val="0"/>
              </w:numPr>
              <w:jc w:val="center"/>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753"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609"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847"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547"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925"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925"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53"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609"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847"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547"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925"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c>
          <w:tcPr>
            <w:tcW w:w="1925" w:type="dxa"/>
            <w:noWrap w:val="0"/>
            <w:vAlign w:val="top"/>
          </w:tcPr>
          <w:p>
            <w:pPr>
              <w:numPr>
                <w:ilvl w:val="0"/>
                <w:numId w:val="0"/>
              </w:numPr>
              <w:jc w:val="center"/>
              <w:rPr>
                <w:rFonts w:hint="default" w:ascii="仿宋_GB2312" w:hAnsi="仿宋_GB2312" w:eastAsia="仿宋_GB2312" w:cs="仿宋_GB2312"/>
                <w:sz w:val="32"/>
                <w:szCs w:val="32"/>
                <w:highlight w:val="none"/>
                <w:vertAlign w:val="baseline"/>
                <w:lang w:val="en-US" w:eastAsia="zh-CN"/>
              </w:rPr>
            </w:pPr>
          </w:p>
        </w:tc>
      </w:tr>
    </w:tbl>
    <w:p>
      <w:pPr>
        <w:pStyle w:val="24"/>
        <w:jc w:val="right"/>
        <w:rPr>
          <w:rFonts w:hint="eastAsia" w:ascii="宋体" w:hAnsi="宋体" w:eastAsia="宋体" w:cs="宋体"/>
          <w:color w:val="auto"/>
          <w:kern w:val="0"/>
          <w:sz w:val="24"/>
          <w:szCs w:val="24"/>
          <w:highlight w:val="none"/>
          <w:lang w:val="en-US" w:eastAsia="zh-CN" w:bidi="ar"/>
        </w:rPr>
      </w:pPr>
    </w:p>
    <w:p>
      <w:pPr>
        <w:pStyle w:val="24"/>
        <w:rPr>
          <w:rFonts w:hint="eastAsia" w:ascii="Calibri" w:hAnsi="Calibri" w:eastAsia="仿宋_GB2312" w:cs="Calibri"/>
          <w:b/>
          <w:bCs/>
          <w:kern w:val="2"/>
          <w:sz w:val="21"/>
          <w:szCs w:val="21"/>
          <w:highlight w:val="none"/>
          <w:vertAlign w:val="baseline"/>
          <w:lang w:val="en-US" w:eastAsia="zh-CN" w:bidi="ar-SA"/>
        </w:rPr>
      </w:pPr>
      <w:r>
        <w:rPr>
          <w:rFonts w:hint="eastAsia" w:ascii="Calibri" w:hAnsi="Calibri" w:eastAsia="仿宋_GB2312" w:cs="Calibri"/>
          <w:b/>
          <w:bCs/>
          <w:kern w:val="2"/>
          <w:sz w:val="21"/>
          <w:szCs w:val="21"/>
          <w:highlight w:val="none"/>
          <w:vertAlign w:val="baseline"/>
          <w:lang w:val="en-US" w:eastAsia="zh-CN" w:bidi="ar-SA"/>
        </w:rPr>
        <w:t>注：</w:t>
      </w:r>
    </w:p>
    <w:p>
      <w:pPr>
        <w:autoSpaceDE w:val="0"/>
        <w:autoSpaceDN w:val="0"/>
        <w:adjustRightInd w:val="0"/>
        <w:spacing w:line="300" w:lineRule="exact"/>
        <w:jc w:val="left"/>
        <w:rPr>
          <w:rFonts w:hint="eastAsia" w:ascii="宋体" w:hAnsi="宋体" w:eastAsia="宋体" w:cs="宋体"/>
          <w:b/>
          <w:color w:val="000000"/>
          <w:kern w:val="0"/>
          <w:szCs w:val="21"/>
          <w:highlight w:val="none"/>
          <w:lang w:val="en-US" w:eastAsia="zh-CN"/>
        </w:rPr>
      </w:pPr>
      <w:r>
        <w:rPr>
          <w:rFonts w:hint="eastAsia" w:ascii="宋体" w:hAnsi="宋体" w:eastAsia="宋体" w:cs="宋体"/>
          <w:b/>
          <w:color w:val="000000"/>
          <w:kern w:val="0"/>
          <w:szCs w:val="21"/>
          <w:highlight w:val="none"/>
          <w:lang w:val="en-US" w:eastAsia="zh-CN"/>
        </w:rPr>
        <w:t>1.提供磋商报价编制人员的注册造价工程师证书扫描件或影印件；</w:t>
      </w:r>
    </w:p>
    <w:p>
      <w:pPr>
        <w:autoSpaceDE w:val="0"/>
        <w:autoSpaceDN w:val="0"/>
        <w:adjustRightInd w:val="0"/>
        <w:spacing w:line="300" w:lineRule="exact"/>
        <w:jc w:val="left"/>
        <w:rPr>
          <w:rFonts w:hint="eastAsia" w:ascii="宋体" w:hAnsi="宋体" w:eastAsia="宋体" w:cs="宋体"/>
          <w:b/>
          <w:color w:val="000000"/>
          <w:kern w:val="0"/>
          <w:szCs w:val="21"/>
          <w:highlight w:val="none"/>
          <w:lang w:val="en-US" w:eastAsia="zh-CN"/>
        </w:rPr>
      </w:pPr>
      <w:r>
        <w:rPr>
          <w:rFonts w:hint="eastAsia" w:ascii="宋体" w:hAnsi="宋体" w:eastAsia="宋体" w:cs="宋体"/>
          <w:b/>
          <w:color w:val="000000"/>
          <w:kern w:val="0"/>
          <w:szCs w:val="21"/>
          <w:highlight w:val="none"/>
          <w:lang w:val="en-US" w:eastAsia="zh-CN"/>
        </w:rPr>
        <w:t>2.若磋商报价编制人员为</w:t>
      </w:r>
      <w:r>
        <w:rPr>
          <w:rFonts w:hint="eastAsia" w:ascii="宋体" w:hAnsi="宋体" w:cs="宋体"/>
          <w:b/>
          <w:color w:val="000000"/>
          <w:kern w:val="0"/>
          <w:szCs w:val="21"/>
          <w:highlight w:val="none"/>
          <w:lang w:val="en-US" w:eastAsia="zh-CN"/>
        </w:rPr>
        <w:t>磋商响应人</w:t>
      </w:r>
      <w:r>
        <w:rPr>
          <w:rFonts w:hint="eastAsia" w:ascii="宋体" w:hAnsi="宋体" w:eastAsia="宋体" w:cs="宋体"/>
          <w:b/>
          <w:color w:val="000000"/>
          <w:kern w:val="0"/>
          <w:szCs w:val="21"/>
          <w:highlight w:val="none"/>
          <w:lang w:val="en-US" w:eastAsia="zh-CN"/>
        </w:rPr>
        <w:t>委托的造价咨询单位注册造价人员，须提供与造价咨询单位签订的委托协议。</w:t>
      </w:r>
    </w:p>
    <w:p>
      <w:pPr>
        <w:autoSpaceDE w:val="0"/>
        <w:autoSpaceDN w:val="0"/>
        <w:adjustRightInd w:val="0"/>
        <w:spacing w:line="300" w:lineRule="exact"/>
        <w:jc w:val="left"/>
        <w:rPr>
          <w:rFonts w:hint="eastAsia" w:ascii="宋体" w:hAnsi="宋体" w:eastAsia="宋体" w:cs="宋体"/>
          <w:b/>
          <w:color w:val="000000"/>
          <w:kern w:val="0"/>
          <w:szCs w:val="21"/>
          <w:highlight w:val="none"/>
          <w:lang w:val="en-US" w:eastAsia="zh-CN"/>
        </w:rPr>
      </w:pPr>
      <w:r>
        <w:rPr>
          <w:rFonts w:hint="eastAsia" w:ascii="宋体" w:hAnsi="宋体" w:eastAsia="宋体" w:cs="宋体"/>
          <w:b/>
          <w:color w:val="000000"/>
          <w:kern w:val="0"/>
          <w:szCs w:val="21"/>
          <w:highlight w:val="none"/>
          <w:lang w:val="en-US" w:eastAsia="zh-CN"/>
        </w:rPr>
        <w:t>3.表格内容将作为公安机关和行政主管部门调查串通投标、允许他人以自己名义从事工程造价业务等违法违规行为的重要依据。</w:t>
      </w:r>
    </w:p>
    <w:p>
      <w:pPr>
        <w:autoSpaceDE w:val="0"/>
        <w:autoSpaceDN w:val="0"/>
        <w:adjustRightInd w:val="0"/>
        <w:spacing w:line="300" w:lineRule="exact"/>
        <w:jc w:val="left"/>
        <w:rPr>
          <w:rFonts w:hint="eastAsia" w:ascii="宋体" w:hAnsi="宋体" w:eastAsia="宋体" w:cs="宋体"/>
          <w:b/>
          <w:color w:val="000000"/>
          <w:kern w:val="0"/>
          <w:szCs w:val="21"/>
          <w:highlight w:val="none"/>
          <w:lang w:val="en-US" w:eastAsia="zh-CN"/>
        </w:rPr>
      </w:pPr>
      <w:r>
        <w:rPr>
          <w:rFonts w:hint="eastAsia" w:ascii="宋体" w:hAnsi="宋体" w:eastAsia="宋体" w:cs="宋体"/>
          <w:b/>
          <w:color w:val="000000"/>
          <w:kern w:val="0"/>
          <w:szCs w:val="21"/>
          <w:highlight w:val="none"/>
          <w:lang w:val="en-US" w:eastAsia="zh-CN"/>
        </w:rPr>
        <w:t>4.</w:t>
      </w:r>
      <w:r>
        <w:rPr>
          <w:rFonts w:hint="eastAsia" w:ascii="宋体" w:hAnsi="宋体" w:cs="宋体"/>
          <w:b/>
          <w:color w:val="000000"/>
          <w:kern w:val="0"/>
          <w:szCs w:val="21"/>
          <w:highlight w:val="none"/>
          <w:lang w:val="en-US" w:eastAsia="zh-CN"/>
        </w:rPr>
        <w:t>磋商响应人</w:t>
      </w:r>
      <w:r>
        <w:rPr>
          <w:rFonts w:hint="eastAsia" w:ascii="宋体" w:hAnsi="宋体" w:eastAsia="宋体" w:cs="宋体"/>
          <w:b/>
          <w:color w:val="000000"/>
          <w:kern w:val="0"/>
          <w:szCs w:val="21"/>
          <w:highlight w:val="none"/>
          <w:lang w:val="en-US" w:eastAsia="zh-CN"/>
        </w:rPr>
        <w:t>填写内容务必真实准确，否则将承担投标失败、成交无效的风险。</w:t>
      </w: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4"/>
        <w:pageBreakBefore w:val="0"/>
        <w:kinsoku/>
        <w:wordWrap/>
        <w:overflowPunct/>
        <w:topLinePunct w:val="0"/>
        <w:bidi w:val="0"/>
        <w:spacing w:line="240" w:lineRule="auto"/>
        <w:rPr>
          <w:rFonts w:hint="eastAsia"/>
          <w:color w:val="auto"/>
          <w:highlight w:val="none"/>
        </w:rPr>
      </w:pPr>
      <w:r>
        <w:rPr>
          <w:rFonts w:hint="eastAsia"/>
          <w:color w:val="auto"/>
          <w:highlight w:val="none"/>
        </w:rPr>
        <w:t>拟分包情况表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80"/>
        <w:gridCol w:w="27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left="0" w:leftChars="0" w:right="0" w:firstLine="0" w:firstLineChars="0"/>
              <w:jc w:val="both"/>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36"/>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bl>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4"/>
        <w:pageBreakBefore w:val="0"/>
        <w:kinsoku/>
        <w:wordWrap/>
        <w:overflowPunct/>
        <w:topLinePunct w:val="0"/>
        <w:bidi w:val="0"/>
        <w:spacing w:line="240" w:lineRule="auto"/>
        <w:rPr>
          <w:rFonts w:hint="eastAsia"/>
          <w:color w:val="auto"/>
          <w:highlight w:val="none"/>
        </w:rPr>
      </w:pPr>
      <w:r>
        <w:rPr>
          <w:rFonts w:hint="eastAsia"/>
          <w:color w:val="auto"/>
          <w:highlight w:val="none"/>
        </w:rPr>
        <w:t>施工组织设计</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2"/>
        <w:textAlignment w:val="auto"/>
        <w:outlineLvl w:val="9"/>
        <w:rPr>
          <w:rFonts w:hint="eastAsia" w:ascii="宋体" w:hAnsi="宋体" w:eastAsia="宋体" w:cs="宋体"/>
          <w:b/>
          <w:bCs/>
          <w:color w:val="auto"/>
          <w:highlight w:val="none"/>
        </w:rPr>
      </w:pPr>
      <w:r>
        <w:rPr>
          <w:rFonts w:hint="eastAsia" w:hAnsi="宋体" w:cs="宋体"/>
          <w:b/>
          <w:bCs/>
          <w:color w:val="auto"/>
          <w:highlight w:val="none"/>
          <w:lang w:eastAsia="zh-CN"/>
        </w:rPr>
        <w:t>供应商</w:t>
      </w:r>
      <w:r>
        <w:rPr>
          <w:rFonts w:hint="eastAsia" w:ascii="宋体" w:hAnsi="宋体" w:eastAsia="宋体" w:cs="宋体"/>
          <w:b/>
          <w:bCs/>
          <w:color w:val="auto"/>
          <w:highlight w:val="none"/>
        </w:rPr>
        <w:t>编制施工组织设计，包括</w:t>
      </w:r>
      <w:r>
        <w:rPr>
          <w:rFonts w:hint="eastAsia" w:hAnsi="宋体" w:cs="宋体"/>
          <w:b/>
          <w:bCs/>
          <w:color w:val="auto"/>
          <w:highlight w:val="none"/>
          <w:lang w:eastAsia="zh-CN"/>
        </w:rPr>
        <w:t>竞争性磋商文件</w:t>
      </w:r>
      <w:r>
        <w:rPr>
          <w:rFonts w:hint="eastAsia" w:ascii="宋体" w:hAnsi="宋体" w:eastAsia="宋体" w:cs="宋体"/>
          <w:b/>
          <w:bCs/>
          <w:color w:val="auto"/>
          <w:highlight w:val="none"/>
        </w:rPr>
        <w:t>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w:t>
      </w:r>
      <w:r>
        <w:rPr>
          <w:rFonts w:hint="eastAsia" w:ascii="宋体" w:hAnsi="宋体" w:eastAsia="宋体" w:cs="宋体"/>
          <w:b/>
          <w:bCs/>
          <w:color w:val="auto"/>
          <w:highlight w:val="none"/>
          <w:lang w:eastAsia="zh-CN"/>
        </w:rPr>
        <w:t>、如有“危大工程”和“超危大工程”，则须补充完善“危大工程”和“超危大工程”清单，并提供相应的安全技术措施。</w:t>
      </w:r>
      <w:r>
        <w:rPr>
          <w:rFonts w:hint="eastAsia" w:ascii="宋体" w:hAnsi="宋体" w:eastAsia="宋体" w:cs="宋体"/>
          <w:b/>
          <w:bCs/>
          <w:color w:val="auto"/>
          <w:highlight w:val="none"/>
        </w:rPr>
        <w:t>如冬雨季施工技术措施、减少扰民噪音、降低环境污染技术措施、地下管线及其他地上地下设施的保护加固措施等。包括但不限于以下章节：</w:t>
      </w:r>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82" w:name="_Toc22798_WPSOffice_Level1"/>
      <w:bookmarkStart w:id="383" w:name="_Toc4617_WPSOffice_Level1"/>
      <w:r>
        <w:rPr>
          <w:rFonts w:hint="eastAsia" w:ascii="宋体" w:hAnsi="宋体" w:eastAsia="宋体" w:cs="宋体"/>
          <w:color w:val="auto"/>
          <w:sz w:val="24"/>
          <w:szCs w:val="24"/>
          <w:highlight w:val="none"/>
        </w:rPr>
        <w:t>工程概况</w:t>
      </w:r>
      <w:bookmarkEnd w:id="382"/>
      <w:bookmarkEnd w:id="383"/>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84" w:name="_Toc26141_WPSOffice_Level1"/>
      <w:bookmarkStart w:id="385" w:name="_Toc6935_WPSOffice_Level1"/>
      <w:r>
        <w:rPr>
          <w:rFonts w:hint="eastAsia" w:ascii="宋体" w:hAnsi="宋体" w:eastAsia="宋体" w:cs="宋体"/>
          <w:color w:val="auto"/>
          <w:sz w:val="24"/>
          <w:szCs w:val="24"/>
          <w:highlight w:val="none"/>
        </w:rPr>
        <w:t>主要施工方法</w:t>
      </w:r>
      <w:bookmarkEnd w:id="384"/>
      <w:bookmarkEnd w:id="385"/>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86" w:name="_Toc2536_WPSOffice_Level1"/>
      <w:bookmarkStart w:id="387" w:name="_Toc27916_WPSOffice_Level1"/>
      <w:r>
        <w:rPr>
          <w:rFonts w:hint="eastAsia" w:ascii="宋体" w:hAnsi="宋体" w:eastAsia="宋体" w:cs="宋体"/>
          <w:color w:val="auto"/>
          <w:sz w:val="24"/>
          <w:szCs w:val="24"/>
          <w:highlight w:val="none"/>
        </w:rPr>
        <w:t>拟投入的主要物资计划</w:t>
      </w:r>
      <w:bookmarkEnd w:id="386"/>
      <w:bookmarkEnd w:id="387"/>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88" w:name="_Toc24861_WPSOffice_Level1"/>
      <w:bookmarkStart w:id="389" w:name="_Toc4334_WPSOffice_Level1"/>
      <w:r>
        <w:rPr>
          <w:rFonts w:hint="eastAsia" w:ascii="宋体" w:hAnsi="宋体" w:eastAsia="宋体" w:cs="宋体"/>
          <w:color w:val="auto"/>
          <w:sz w:val="24"/>
          <w:szCs w:val="24"/>
          <w:highlight w:val="none"/>
        </w:rPr>
        <w:t>拟投入的主要施工机械、设备计划</w:t>
      </w:r>
      <w:bookmarkEnd w:id="388"/>
      <w:bookmarkEnd w:id="389"/>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90" w:name="_Toc29238_WPSOffice_Level1"/>
      <w:bookmarkStart w:id="391" w:name="_Toc27567_WPSOffice_Level1"/>
      <w:r>
        <w:rPr>
          <w:rFonts w:hint="eastAsia" w:ascii="宋体" w:hAnsi="宋体" w:eastAsia="宋体" w:cs="宋体"/>
          <w:color w:val="auto"/>
          <w:sz w:val="24"/>
          <w:szCs w:val="24"/>
          <w:highlight w:val="none"/>
        </w:rPr>
        <w:t>劳动力安排计划及劳动力计划表</w:t>
      </w:r>
      <w:bookmarkEnd w:id="390"/>
      <w:bookmarkEnd w:id="391"/>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92" w:name="_Toc22789_WPSOffice_Level1"/>
      <w:bookmarkStart w:id="393" w:name="_Toc21401_WPSOffice_Level1"/>
      <w:r>
        <w:rPr>
          <w:rFonts w:hint="eastAsia" w:ascii="宋体" w:hAnsi="宋体" w:eastAsia="宋体" w:cs="宋体"/>
          <w:color w:val="auto"/>
          <w:sz w:val="24"/>
          <w:szCs w:val="24"/>
          <w:highlight w:val="none"/>
        </w:rPr>
        <w:t>确保工程质量的技术组织措施</w:t>
      </w:r>
      <w:bookmarkEnd w:id="392"/>
      <w:bookmarkEnd w:id="393"/>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94" w:name="_Toc28756_WPSOffice_Level1"/>
      <w:bookmarkStart w:id="395" w:name="_Toc7278_WPSOffice_Level1"/>
      <w:r>
        <w:rPr>
          <w:rFonts w:hint="eastAsia" w:ascii="宋体" w:hAnsi="宋体" w:eastAsia="宋体" w:cs="宋体"/>
          <w:color w:val="auto"/>
          <w:sz w:val="24"/>
          <w:szCs w:val="24"/>
          <w:highlight w:val="none"/>
        </w:rPr>
        <w:t>确保安全生产的技术组织措施</w:t>
      </w:r>
      <w:bookmarkEnd w:id="394"/>
      <w:bookmarkEnd w:id="395"/>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96" w:name="_Toc14822_WPSOffice_Level1"/>
      <w:bookmarkStart w:id="397" w:name="_Toc17446_WPSOffice_Level1"/>
      <w:r>
        <w:rPr>
          <w:rFonts w:hint="eastAsia" w:ascii="宋体" w:hAnsi="宋体" w:eastAsia="宋体" w:cs="宋体"/>
          <w:color w:val="auto"/>
          <w:sz w:val="24"/>
          <w:szCs w:val="24"/>
          <w:highlight w:val="none"/>
        </w:rPr>
        <w:t>确保工期的技术组织措施</w:t>
      </w:r>
      <w:bookmarkEnd w:id="396"/>
      <w:bookmarkEnd w:id="397"/>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98" w:name="_Toc17566_WPSOffice_Level1"/>
      <w:bookmarkStart w:id="399" w:name="_Toc19590_WPSOffice_Level1"/>
      <w:r>
        <w:rPr>
          <w:rFonts w:hint="eastAsia" w:ascii="宋体" w:hAnsi="宋体" w:eastAsia="宋体" w:cs="宋体"/>
          <w:color w:val="auto"/>
          <w:sz w:val="24"/>
          <w:szCs w:val="24"/>
          <w:highlight w:val="none"/>
        </w:rPr>
        <w:t>确保文明施工的技术组织措施</w:t>
      </w:r>
      <w:bookmarkEnd w:id="398"/>
      <w:bookmarkEnd w:id="399"/>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400" w:name="_Toc6847_WPSOffice_Level1"/>
      <w:bookmarkStart w:id="401" w:name="_Toc13275_WPSOffice_Level1"/>
      <w:r>
        <w:rPr>
          <w:rFonts w:hint="eastAsia" w:ascii="宋体" w:hAnsi="宋体" w:eastAsia="宋体" w:cs="宋体"/>
          <w:color w:val="auto"/>
          <w:sz w:val="24"/>
          <w:szCs w:val="24"/>
          <w:highlight w:val="none"/>
        </w:rPr>
        <w:t>工程施工的重点和难点</w:t>
      </w:r>
      <w:bookmarkEnd w:id="400"/>
      <w:bookmarkEnd w:id="401"/>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402" w:name="_Toc2108_WPSOffice_Level1"/>
      <w:bookmarkStart w:id="403" w:name="_Toc9959_WPSOffice_Level1"/>
      <w:r>
        <w:rPr>
          <w:rFonts w:hint="eastAsia" w:ascii="宋体" w:hAnsi="宋体" w:eastAsia="宋体" w:cs="宋体"/>
          <w:color w:val="auto"/>
          <w:sz w:val="24"/>
          <w:szCs w:val="24"/>
          <w:highlight w:val="none"/>
        </w:rPr>
        <w:t>施工总平面布置图</w:t>
      </w:r>
      <w:bookmarkEnd w:id="402"/>
      <w:bookmarkEnd w:id="403"/>
    </w:p>
    <w:p>
      <w:pPr>
        <w:pStyle w:val="33"/>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404" w:name="_Toc4975_WPSOffice_Level1"/>
      <w:bookmarkStart w:id="405" w:name="_Toc14332_WPSOffice_Level1"/>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认为有必要说明的其他内容</w:t>
      </w:r>
      <w:bookmarkEnd w:id="404"/>
      <w:bookmarkEnd w:id="405"/>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pStyle w:val="24"/>
        <w:jc w:val="right"/>
        <w:rPr>
          <w:rFonts w:hint="eastAsia" w:ascii="宋体" w:hAnsi="宋体" w:eastAsia="宋体" w:cs="宋体"/>
          <w:color w:val="auto"/>
          <w:kern w:val="0"/>
          <w:sz w:val="24"/>
          <w:szCs w:val="24"/>
          <w:highlight w:val="none"/>
          <w:lang w:val="en-US" w:eastAsia="zh-CN" w:bidi="ar"/>
        </w:rPr>
      </w:pPr>
    </w:p>
    <w:p>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供应商名称：</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单位性质：</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地址：</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成立时间：</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经营期限：</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姓名：</w:t>
      </w:r>
      <w:r>
        <w:rPr>
          <w:rFonts w:ascii="宋体" w:hAnsi="宋体" w:cs="宋体"/>
          <w:szCs w:val="21"/>
          <w:highlight w:val="none"/>
          <w:u w:val="single"/>
        </w:rPr>
        <w:t xml:space="preserve">             </w:t>
      </w:r>
      <w:r>
        <w:rPr>
          <w:rFonts w:hint="eastAsia" w:ascii="宋体" w:hAnsi="宋体" w:cs="宋体"/>
          <w:szCs w:val="21"/>
          <w:highlight w:val="none"/>
        </w:rPr>
        <w:t>性别：</w:t>
      </w:r>
      <w:r>
        <w:rPr>
          <w:rFonts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u w:val="single"/>
        </w:rPr>
        <w:t xml:space="preserve">          </w:t>
      </w:r>
      <w:r>
        <w:rPr>
          <w:rFonts w:hint="eastAsia" w:ascii="宋体" w:hAnsi="宋体" w:cs="宋体"/>
          <w:szCs w:val="21"/>
          <w:highlight w:val="none"/>
        </w:rPr>
        <w:t>职务：</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ascii="宋体" w:hAnsi="宋体" w:cs="宋体"/>
          <w:szCs w:val="21"/>
          <w:highlight w:val="none"/>
          <w:u w:val="single"/>
        </w:rPr>
        <w:t xml:space="preserve">                          </w:t>
      </w:r>
      <w:r>
        <w:rPr>
          <w:rFonts w:hint="eastAsia" w:ascii="宋体" w:hAnsi="宋体" w:cs="宋体"/>
          <w:szCs w:val="21"/>
          <w:highlight w:val="none"/>
        </w:rPr>
        <w:t>（供应商名称）的法定代表人。</w:t>
      </w:r>
    </w:p>
    <w:p>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pPr>
        <w:wordWrap w:val="0"/>
        <w:adjustRightInd w:val="0"/>
        <w:snapToGrid w:val="0"/>
        <w:spacing w:line="360" w:lineRule="auto"/>
        <w:ind w:firstLine="411" w:firstLineChars="196"/>
        <w:rPr>
          <w:rFonts w:hint="eastAsia" w:ascii="宋体" w:hAnsi="宋体" w:cs="宋体"/>
          <w:szCs w:val="21"/>
          <w:highlight w:val="none"/>
        </w:rPr>
      </w:pPr>
      <w:r>
        <w:rPr>
          <w:rFonts w:hint="eastAsia" w:ascii="宋体" w:hAnsi="宋体" w:cs="宋体"/>
          <w:szCs w:val="21"/>
          <w:highlight w:val="none"/>
        </w:rPr>
        <w:t>特此证明。</w:t>
      </w:r>
    </w:p>
    <w:p>
      <w:pPr>
        <w:wordWrap w:val="0"/>
        <w:adjustRightInd w:val="0"/>
        <w:snapToGrid w:val="0"/>
        <w:spacing w:line="360" w:lineRule="auto"/>
        <w:ind w:firstLine="411" w:firstLineChars="196"/>
        <w:rPr>
          <w:rFonts w:hint="eastAsia" w:hAnsi="宋体"/>
          <w:szCs w:val="21"/>
          <w:highlight w:val="none"/>
        </w:rPr>
      </w:pPr>
    </w:p>
    <w:p>
      <w:pPr>
        <w:wordWrap w:val="0"/>
        <w:adjustRightInd w:val="0"/>
        <w:snapToGrid w:val="0"/>
        <w:spacing w:line="360" w:lineRule="auto"/>
        <w:ind w:firstLine="411" w:firstLineChars="196"/>
        <w:rPr>
          <w:rFonts w:hint="eastAsia" w:hAnsi="宋体"/>
          <w:szCs w:val="21"/>
          <w:highlight w:val="none"/>
        </w:rPr>
      </w:pPr>
      <w:r>
        <w:rPr>
          <w:rFonts w:hint="eastAsia" w:hAnsi="宋体"/>
          <w:szCs w:val="21"/>
          <w:highlight w:val="none"/>
        </w:rPr>
        <w:t xml:space="preserve"> 附：法定代表人二代居民身份证影印件或扫描件</w:t>
      </w:r>
    </w:p>
    <w:p>
      <w:pPr>
        <w:wordWrap w:val="0"/>
        <w:adjustRightInd w:val="0"/>
        <w:snapToGrid w:val="0"/>
        <w:spacing w:line="360" w:lineRule="auto"/>
        <w:ind w:firstLine="4137" w:firstLineChars="1970"/>
        <w:rPr>
          <w:rFonts w:hint="eastAsia" w:ascii="宋体" w:hAnsi="宋体" w:cs="宋体"/>
          <w:szCs w:val="21"/>
          <w:highlight w:val="none"/>
        </w:rPr>
      </w:pPr>
    </w:p>
    <w:p>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rPr>
        <w:t>（盖单位章）</w:t>
      </w:r>
    </w:p>
    <w:p>
      <w:pPr>
        <w:wordWrap w:val="0"/>
        <w:adjustRightInd w:val="0"/>
        <w:snapToGrid w:val="0"/>
        <w:spacing w:line="360" w:lineRule="auto"/>
        <w:ind w:right="360" w:firstLine="4851" w:firstLineChars="2310"/>
        <w:jc w:val="right"/>
        <w:rPr>
          <w:rFonts w:ascii="宋体" w:hAnsi="宋体" w:cs="宋体"/>
          <w:szCs w:val="21"/>
          <w:highlight w:val="none"/>
        </w:rPr>
      </w:pP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360" w:firstLine="4851" w:firstLineChars="2310"/>
        <w:jc w:val="right"/>
        <w:rPr>
          <w:rFonts w:ascii="宋体" w:cs="宋体"/>
          <w:szCs w:val="21"/>
          <w:highlight w:val="none"/>
        </w:rPr>
      </w:pPr>
    </w:p>
    <w:p>
      <w:pPr>
        <w:spacing w:line="360" w:lineRule="auto"/>
        <w:ind w:firstLine="1680" w:firstLineChars="800"/>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pStyle w:val="24"/>
        <w:rPr>
          <w:rFonts w:ascii="宋体" w:cs="宋体"/>
          <w:szCs w:val="21"/>
          <w:highlight w:val="none"/>
        </w:rPr>
      </w:pPr>
    </w:p>
    <w:p>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ascii="宋体" w:hAnsi="宋体" w:cs="宋体"/>
          <w:szCs w:val="21"/>
          <w:highlight w:val="none"/>
          <w:u w:val="single"/>
        </w:rPr>
        <w:t xml:space="preserve">        </w:t>
      </w:r>
      <w:r>
        <w:rPr>
          <w:rFonts w:hint="eastAsia" w:ascii="宋体" w:hAnsi="宋体" w:cs="宋体"/>
          <w:szCs w:val="21"/>
          <w:highlight w:val="none"/>
        </w:rPr>
        <w:t>（姓名）系</w:t>
      </w:r>
      <w:r>
        <w:rPr>
          <w:rFonts w:ascii="宋体" w:hAnsi="宋体" w:cs="宋体"/>
          <w:szCs w:val="21"/>
          <w:highlight w:val="none"/>
          <w:u w:val="single"/>
        </w:rPr>
        <w:t xml:space="preserve">          </w:t>
      </w:r>
      <w:r>
        <w:rPr>
          <w:rFonts w:hint="eastAsia" w:ascii="宋体" w:hAnsi="宋体" w:cs="宋体"/>
          <w:szCs w:val="21"/>
          <w:highlight w:val="none"/>
        </w:rPr>
        <w:t>（供应商名称）的法定代表人，现委托</w:t>
      </w:r>
      <w:r>
        <w:rPr>
          <w:rFonts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ascii="宋体" w:hAnsi="宋体" w:cs="宋体"/>
          <w:szCs w:val="21"/>
          <w:highlight w:val="none"/>
          <w:u w:val="single"/>
        </w:rPr>
        <w:t xml:space="preserve">                           </w:t>
      </w:r>
      <w:r>
        <w:rPr>
          <w:rFonts w:hint="eastAsia" w:ascii="宋体" w:hAnsi="宋体" w:cs="宋体"/>
          <w:szCs w:val="21"/>
          <w:highlight w:val="none"/>
        </w:rPr>
        <w:t>（项目名称）响应文件、签订合同等一切事宜，其法律后果由我方承担。</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ascii="宋体" w:hAnsi="宋体" w:cs="宋体"/>
          <w:szCs w:val="21"/>
          <w:highlight w:val="none"/>
          <w:u w:val="single"/>
        </w:rPr>
        <w:t xml:space="preserve">                </w:t>
      </w:r>
      <w:r>
        <w:rPr>
          <w:rFonts w:hint="eastAsia" w:ascii="宋体" w:hAnsi="宋体" w:cs="宋体"/>
          <w:szCs w:val="21"/>
          <w:highlight w:val="none"/>
        </w:rPr>
        <w:t>。</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性别</w:t>
      </w: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pPr>
        <w:wordWrap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身份证号码：</w:t>
      </w:r>
      <w:r>
        <w:rPr>
          <w:rFonts w:ascii="宋体" w:hAnsi="宋体" w:cs="宋体"/>
          <w:szCs w:val="21"/>
          <w:highlight w:val="none"/>
          <w:u w:val="single"/>
        </w:rPr>
        <w:t xml:space="preserve">                    </w:t>
      </w:r>
      <w:r>
        <w:rPr>
          <w:rFonts w:hint="eastAsia" w:ascii="宋体" w:hAnsi="宋体" w:cs="宋体"/>
          <w:szCs w:val="21"/>
          <w:highlight w:val="none"/>
        </w:rPr>
        <w:t>职务：</w:t>
      </w:r>
      <w:r>
        <w:rPr>
          <w:rFonts w:ascii="宋体" w:hAnsi="宋体" w:cs="宋体"/>
          <w:szCs w:val="21"/>
          <w:highlight w:val="none"/>
          <w:u w:val="single"/>
        </w:rPr>
        <w:t xml:space="preserve">                </w:t>
      </w:r>
    </w:p>
    <w:p>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pPr>
        <w:wordWrap w:val="0"/>
        <w:spacing w:line="360" w:lineRule="auto"/>
        <w:ind w:firstLine="420" w:firstLineChars="200"/>
        <w:rPr>
          <w:rFonts w:ascii="宋体" w:hAnsi="宋体" w:cs="宋体"/>
          <w:color w:val="000000"/>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u w:val="single"/>
        </w:rPr>
        <w:t>（盖章）</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（盖章）</w:t>
      </w:r>
    </w:p>
    <w:p>
      <w:pPr>
        <w:wordWrap w:val="0"/>
        <w:spacing w:line="360" w:lineRule="auto"/>
        <w:ind w:right="480" w:firstLine="420" w:firstLineChars="200"/>
        <w:rPr>
          <w:rFonts w:hint="eastAsia" w:ascii="宋体" w:hAnsi="宋体" w:cs="宋体"/>
          <w:szCs w:val="21"/>
          <w:highlight w:val="none"/>
        </w:rPr>
      </w:pPr>
    </w:p>
    <w:p>
      <w:pPr>
        <w:wordWrap w:val="0"/>
        <w:spacing w:line="360" w:lineRule="auto"/>
        <w:ind w:right="480" w:firstLine="420" w:firstLineChars="200"/>
        <w:rPr>
          <w:rFonts w:hint="eastAsia" w:ascii="宋体" w:hAnsi="宋体" w:cs="宋体"/>
          <w:szCs w:val="21"/>
          <w:highlight w:val="none"/>
        </w:rPr>
      </w:pPr>
      <w:r>
        <w:rPr>
          <w:rFonts w:hint="eastAsia" w:ascii="宋体" w:hAnsi="宋体" w:cs="宋体"/>
          <w:szCs w:val="21"/>
          <w:highlight w:val="none"/>
        </w:rPr>
        <w:t>附：代理人二代居民身份证影印件或扫描件</w:t>
      </w:r>
    </w:p>
    <w:p>
      <w:pPr>
        <w:wordWrap w:val="0"/>
        <w:spacing w:line="360" w:lineRule="auto"/>
        <w:ind w:right="480" w:firstLine="420" w:firstLineChars="200"/>
        <w:jc w:val="right"/>
        <w:rPr>
          <w:rFonts w:hint="eastAsia" w:ascii="宋体" w:hAnsi="宋体" w:cs="宋体"/>
          <w:szCs w:val="21"/>
          <w:highlight w:val="none"/>
        </w:rPr>
      </w:pPr>
    </w:p>
    <w:p>
      <w:pPr>
        <w:wordWrap w:val="0"/>
        <w:spacing w:line="360" w:lineRule="auto"/>
        <w:ind w:right="480" w:firstLine="420" w:firstLineChars="200"/>
        <w:jc w:val="right"/>
        <w:rPr>
          <w:rFonts w:ascii="宋体" w:cs="宋体"/>
          <w:szCs w:val="21"/>
          <w:highlight w:val="none"/>
        </w:rPr>
      </w:pPr>
      <w:r>
        <w:rPr>
          <w:rFonts w:hint="eastAsia" w:ascii="宋体" w:hAnsi="宋体" w:cs="宋体"/>
          <w:szCs w:val="21"/>
          <w:highlight w:val="none"/>
        </w:rPr>
        <w:t>授权委托日期：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ind w:firstLine="482" w:firstLineChars="200"/>
        <w:rPr>
          <w:rFonts w:ascii="宋体" w:cs="宋体"/>
          <w:b/>
          <w:sz w:val="24"/>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406" w:name="_Toc7613"/>
      <w:bookmarkStart w:id="407" w:name="_Toc21713"/>
      <w:r>
        <w:rPr>
          <w:rFonts w:hint="eastAsia" w:ascii="宋体" w:hAnsi="宋体" w:eastAsia="宋体" w:cs="宋体"/>
          <w:b/>
          <w:color w:val="auto"/>
          <w:sz w:val="36"/>
          <w:szCs w:val="36"/>
          <w:highlight w:val="none"/>
        </w:rPr>
        <w:t>第五章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工程技术经济要求</w:t>
      </w:r>
      <w:bookmarkEnd w:id="406"/>
      <w:bookmarkEnd w:id="407"/>
    </w:p>
    <w:p>
      <w:pPr>
        <w:pStyle w:val="426"/>
        <w:pageBreakBefore w:val="0"/>
        <w:kinsoku/>
        <w:wordWrap/>
        <w:overflowPunct/>
        <w:topLinePunct w:val="0"/>
        <w:bidi w:val="0"/>
        <w:spacing w:beforeAutospacing="0" w:afterAutospacing="0" w:line="240" w:lineRule="auto"/>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w:t>
      </w:r>
      <w:r>
        <w:rPr>
          <w:rFonts w:hint="eastAsia" w:ascii="宋体" w:hAnsi="宋体" w:eastAsia="宋体" w:cs="宋体"/>
          <w:color w:val="auto"/>
          <w:szCs w:val="24"/>
          <w:highlight w:val="none"/>
          <w:lang w:eastAsia="zh-CN"/>
        </w:rPr>
        <w:t>施工图设计文件</w:t>
      </w:r>
      <w:r>
        <w:rPr>
          <w:rFonts w:hint="eastAsia" w:ascii="宋体" w:hAnsi="宋体" w:eastAsia="宋体" w:cs="宋体"/>
          <w:color w:val="auto"/>
          <w:szCs w:val="24"/>
          <w:highlight w:val="none"/>
        </w:rPr>
        <w:t>、相关规范</w:t>
      </w: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408" w:name="_Toc15873"/>
      <w:bookmarkStart w:id="409" w:name="_Toc12851_WPSOffice_Level1"/>
      <w:bookmarkStart w:id="410" w:name="_Toc3261"/>
      <w:bookmarkStart w:id="411" w:name="_Toc12770"/>
      <w:bookmarkStart w:id="412" w:name="_Toc12857_WPSOffice_Level1"/>
      <w:r>
        <w:rPr>
          <w:rFonts w:hint="eastAsia" w:ascii="宋体" w:hAnsi="宋体" w:eastAsia="宋体" w:cs="宋体"/>
          <w:b/>
          <w:color w:val="auto"/>
          <w:sz w:val="36"/>
          <w:szCs w:val="36"/>
          <w:highlight w:val="none"/>
        </w:rPr>
        <w:t>第六章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施工图设计文件</w:t>
      </w:r>
      <w:bookmarkEnd w:id="408"/>
      <w:bookmarkEnd w:id="409"/>
      <w:bookmarkEnd w:id="410"/>
      <w:bookmarkEnd w:id="411"/>
      <w:bookmarkEnd w:id="412"/>
    </w:p>
    <w:p>
      <w:pPr>
        <w:pStyle w:val="426"/>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rPr>
        <w:t>图纸清单：详见</w:t>
      </w:r>
      <w:r>
        <w:rPr>
          <w:rFonts w:hint="eastAsia" w:hAnsi="宋体" w:cs="宋体"/>
          <w:color w:val="auto"/>
          <w:szCs w:val="24"/>
          <w:highlight w:val="none"/>
          <w:lang w:eastAsia="zh-CN"/>
        </w:rPr>
        <w:t>采购人</w:t>
      </w:r>
      <w:r>
        <w:rPr>
          <w:rFonts w:hint="eastAsia" w:ascii="宋体" w:hAnsi="宋体" w:eastAsia="宋体" w:cs="宋体"/>
          <w:color w:val="auto"/>
          <w:szCs w:val="24"/>
          <w:highlight w:val="none"/>
        </w:rPr>
        <w:t>提供的施工图。</w:t>
      </w:r>
    </w:p>
    <w:p>
      <w:pPr>
        <w:pStyle w:val="426"/>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rPr>
        <w:t>工程技术规范清单：详见</w:t>
      </w:r>
      <w:r>
        <w:rPr>
          <w:rFonts w:hint="eastAsia" w:hAnsi="宋体" w:cs="宋体"/>
          <w:color w:val="auto"/>
          <w:szCs w:val="24"/>
          <w:highlight w:val="none"/>
          <w:lang w:eastAsia="zh-CN"/>
        </w:rPr>
        <w:t>采购人</w:t>
      </w:r>
      <w:r>
        <w:rPr>
          <w:rFonts w:hint="eastAsia" w:ascii="宋体" w:hAnsi="宋体" w:eastAsia="宋体" w:cs="宋体"/>
          <w:color w:val="auto"/>
          <w:szCs w:val="24"/>
          <w:highlight w:val="none"/>
        </w:rPr>
        <w:t>提供的施工图中所列。</w:t>
      </w:r>
    </w:p>
    <w:p>
      <w:pPr>
        <w:pStyle w:val="426"/>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rPr>
        <w:t>标准图集清单：详见</w:t>
      </w:r>
      <w:r>
        <w:rPr>
          <w:rFonts w:hint="eastAsia" w:hAnsi="宋体" w:cs="宋体"/>
          <w:color w:val="auto"/>
          <w:szCs w:val="24"/>
          <w:highlight w:val="none"/>
          <w:lang w:eastAsia="zh-CN"/>
        </w:rPr>
        <w:t>采购人</w:t>
      </w:r>
      <w:r>
        <w:rPr>
          <w:rFonts w:hint="eastAsia" w:ascii="宋体" w:hAnsi="宋体" w:eastAsia="宋体" w:cs="宋体"/>
          <w:color w:val="auto"/>
          <w:szCs w:val="24"/>
          <w:highlight w:val="none"/>
        </w:rPr>
        <w:t>提供的施工图中所列。</w:t>
      </w: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413" w:name="_Toc12343_WPSOffice_Level1"/>
      <w:bookmarkStart w:id="414" w:name="_Toc11895_WPSOffice_Level1"/>
      <w:bookmarkStart w:id="415" w:name="_Toc10542"/>
      <w:bookmarkStart w:id="416" w:name="_Toc5878"/>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4"/>
        <w:rPr>
          <w:rFonts w:hint="eastAsia"/>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417" w:name="_Toc6416"/>
      <w:r>
        <w:rPr>
          <w:rFonts w:hint="eastAsia" w:ascii="宋体" w:hAnsi="宋体" w:eastAsia="宋体" w:cs="宋体"/>
          <w:b/>
          <w:color w:val="auto"/>
          <w:sz w:val="36"/>
          <w:szCs w:val="36"/>
          <w:highlight w:val="none"/>
        </w:rPr>
        <w:t>第七章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工程量清单</w:t>
      </w:r>
      <w:bookmarkEnd w:id="413"/>
      <w:bookmarkEnd w:id="414"/>
      <w:bookmarkEnd w:id="415"/>
      <w:bookmarkEnd w:id="416"/>
      <w:bookmarkEnd w:id="417"/>
    </w:p>
    <w:p>
      <w:pPr>
        <w:pStyle w:val="427"/>
        <w:pageBreakBefore w:val="0"/>
        <w:kinsoku/>
        <w:wordWrap/>
        <w:overflowPunct/>
        <w:topLinePunct w:val="0"/>
        <w:bidi w:val="0"/>
        <w:spacing w:beforeAutospacing="0" w:afterAutospacing="0" w:line="240" w:lineRule="auto"/>
        <w:jc w:val="center"/>
        <w:rPr>
          <w:rFonts w:hint="eastAsia" w:ascii="宋体" w:hAnsi="宋体" w:eastAsia="宋体" w:cs="宋体"/>
          <w:color w:val="auto"/>
          <w:highlight w:val="none"/>
          <w:lang w:eastAsia="zh-CN"/>
        </w:rPr>
      </w:pPr>
      <w:bookmarkStart w:id="418" w:name="_Toc7742_WPSOffice_Level1"/>
      <w:bookmarkStart w:id="419" w:name="_Toc20737_WPSOffice_Level1"/>
      <w:r>
        <w:rPr>
          <w:rFonts w:hint="eastAsia" w:ascii="宋体" w:hAnsi="宋体" w:eastAsia="宋体" w:cs="宋体"/>
          <w:color w:val="auto"/>
          <w:highlight w:val="none"/>
          <w:lang w:eastAsia="zh-CN"/>
        </w:rPr>
        <w:t>（另附）</w:t>
      </w:r>
      <w:bookmarkEnd w:id="418"/>
      <w:bookmarkEnd w:id="419"/>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3"/>
        <w:spacing w:before="312" w:after="312"/>
        <w:ind w:firstLine="0" w:firstLineChars="0"/>
        <w:jc w:val="center"/>
        <w:rPr>
          <w:highlight w:val="none"/>
        </w:rPr>
      </w:pPr>
      <w:bookmarkStart w:id="420" w:name="_Toc32758"/>
      <w:bookmarkStart w:id="421" w:name="_Toc12703"/>
      <w:bookmarkStart w:id="422" w:name="_Toc14853"/>
      <w:bookmarkStart w:id="423" w:name="_Toc17695"/>
      <w:bookmarkStart w:id="424" w:name="_Toc6084"/>
      <w:bookmarkStart w:id="425" w:name="_Toc22827"/>
      <w:bookmarkStart w:id="426" w:name="_Toc18987"/>
      <w:bookmarkStart w:id="427" w:name="_Toc32741"/>
      <w:r>
        <w:rPr>
          <w:rFonts w:hint="eastAsia"/>
          <w:highlight w:val="none"/>
        </w:rPr>
        <w:t>第</w:t>
      </w:r>
      <w:r>
        <w:rPr>
          <w:rFonts w:hint="eastAsia"/>
          <w:highlight w:val="none"/>
          <w:lang w:val="en-US" w:eastAsia="zh-CN"/>
        </w:rPr>
        <w:t>八</w:t>
      </w:r>
      <w:r>
        <w:rPr>
          <w:rFonts w:hint="eastAsia"/>
          <w:highlight w:val="none"/>
        </w:rPr>
        <w:t>章  政府采购供应商质疑函范本</w:t>
      </w:r>
      <w:bookmarkEnd w:id="420"/>
      <w:bookmarkEnd w:id="421"/>
      <w:bookmarkEnd w:id="422"/>
      <w:bookmarkEnd w:id="423"/>
      <w:bookmarkEnd w:id="424"/>
      <w:bookmarkEnd w:id="425"/>
      <w:bookmarkEnd w:id="426"/>
      <w:bookmarkEnd w:id="427"/>
    </w:p>
    <w:p>
      <w:pPr>
        <w:jc w:val="center"/>
        <w:rPr>
          <w:rFonts w:ascii="仿宋" w:hAnsi="仿宋" w:eastAsia="仿宋" w:cs="仿宋"/>
          <w:b/>
          <w:bCs/>
          <w:sz w:val="32"/>
          <w:szCs w:val="44"/>
          <w:highlight w:val="none"/>
        </w:rPr>
      </w:pPr>
      <w:r>
        <w:rPr>
          <w:rFonts w:hint="eastAsia" w:ascii="仿宋" w:hAnsi="仿宋" w:eastAsia="仿宋" w:cs="仿宋"/>
          <w:b/>
          <w:bCs/>
          <w:sz w:val="32"/>
          <w:szCs w:val="44"/>
          <w:highlight w:val="none"/>
        </w:rPr>
        <w:t>质疑函范本</w:t>
      </w:r>
    </w:p>
    <w:p>
      <w:pPr>
        <w:adjustRightInd w:val="0"/>
        <w:snapToGrid w:val="0"/>
        <w:spacing w:before="312" w:beforeLines="100" w:line="360" w:lineRule="auto"/>
        <w:rPr>
          <w:rFonts w:cs="仿宋"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一、质疑供应商基本信息</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质疑供应商：</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w:t>
      </w:r>
      <w:r>
        <w:rPr>
          <w:rFonts w:hint="eastAsia" w:cs="仿宋" w:asciiTheme="minorEastAsia" w:hAnsiTheme="minorEastAsia" w:eastAsiaTheme="minorEastAsia"/>
          <w:sz w:val="24"/>
          <w:highlight w:val="none"/>
          <w:u w:val="dotted"/>
        </w:rPr>
        <w:t xml:space="preserve">                          </w:t>
      </w:r>
      <w:r>
        <w:rPr>
          <w:rFonts w:hint="eastAsia" w:cs="仿宋" w:asciiTheme="minorEastAsia" w:hAnsiTheme="minorEastAsia" w:eastAsiaTheme="minorEastAsia"/>
          <w:sz w:val="24"/>
          <w:highlight w:val="none"/>
        </w:rPr>
        <w:t>邮编：</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联系人：</w:t>
      </w:r>
      <w:r>
        <w:rPr>
          <w:rFonts w:hint="eastAsia" w:cs="仿宋" w:asciiTheme="minorEastAsia" w:hAnsiTheme="minorEastAsia" w:eastAsiaTheme="minorEastAsia"/>
          <w:sz w:val="24"/>
          <w:highlight w:val="none"/>
          <w:u w:val="dotted"/>
        </w:rPr>
        <w:t xml:space="preserve">                      </w:t>
      </w:r>
      <w:r>
        <w:rPr>
          <w:rFonts w:hint="eastAsia" w:cs="仿宋" w:asciiTheme="minorEastAsia" w:hAnsiTheme="minorEastAsia" w:eastAsiaTheme="minorEastAsia"/>
          <w:sz w:val="24"/>
          <w:highlight w:val="none"/>
        </w:rPr>
        <w:t>联系电话：</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授权代表：</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联系电话：</w:t>
      </w:r>
      <w:r>
        <w:rPr>
          <w:rFonts w:hint="eastAsia" w:cs="仿宋" w:asciiTheme="minorEastAsia" w:hAnsiTheme="minorEastAsia" w:eastAsiaTheme="minorEastAsia"/>
          <w:sz w:val="24"/>
          <w:highlight w:val="none"/>
          <w:u w:val="dotted"/>
        </w:rPr>
        <w:t xml:space="preserve">                                           </w:t>
      </w:r>
      <w:r>
        <w:rPr>
          <w:rFonts w:cs="仿宋" w:asciiTheme="minorEastAsia" w:hAnsiTheme="minorEastAsia" w:eastAsiaTheme="minorEastAsia"/>
          <w:sz w:val="24"/>
          <w:highlight w:val="none"/>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u w:val="dotted"/>
        </w:rPr>
        <w:t xml:space="preserve">                        </w:t>
      </w:r>
      <w:r>
        <w:rPr>
          <w:rFonts w:hint="eastAsia" w:cs="仿宋" w:asciiTheme="minorEastAsia" w:hAnsiTheme="minorEastAsia" w:eastAsiaTheme="minorEastAsia"/>
          <w:sz w:val="24"/>
          <w:highlight w:val="none"/>
        </w:rPr>
        <w:t>邮编：</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二、质疑项目基本情况</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质疑项目的名称：</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质疑项目的编号：</w:t>
      </w:r>
      <w:r>
        <w:rPr>
          <w:rFonts w:hint="eastAsia" w:cs="仿宋" w:asciiTheme="minorEastAsia" w:hAnsiTheme="minorEastAsia" w:eastAsiaTheme="minorEastAsia"/>
          <w:sz w:val="24"/>
          <w:highlight w:val="none"/>
          <w:u w:val="dotted"/>
        </w:rPr>
        <w:t xml:space="preserve">               </w:t>
      </w:r>
      <w:r>
        <w:rPr>
          <w:rFonts w:hint="eastAsia" w:cs="仿宋" w:asciiTheme="minorEastAsia" w:hAnsiTheme="minorEastAsia" w:eastAsiaTheme="minorEastAsia"/>
          <w:sz w:val="24"/>
          <w:highlight w:val="none"/>
        </w:rPr>
        <w:t>包号：</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采购人名称：</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采购文件获取日期：</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三、质疑事项具体内容</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质疑事项1：</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事实依据：</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法律依据：</w:t>
      </w: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u w:val="dotted"/>
        </w:rPr>
        <w:t xml:space="preserve">                                                     </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质疑事项2</w:t>
      </w:r>
    </w:p>
    <w:p>
      <w:pPr>
        <w:adjustRightInd w:val="0"/>
        <w:snapToGrid w:val="0"/>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p>
    <w:p>
      <w:pPr>
        <w:adjustRightInd w:val="0"/>
        <w:snapToGrid w:val="0"/>
        <w:spacing w:line="360" w:lineRule="auto"/>
        <w:rPr>
          <w:rFonts w:cs="仿宋"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四、与质疑事项相关的质疑请求</w:t>
      </w:r>
    </w:p>
    <w:p>
      <w:pPr>
        <w:adjustRightInd w:val="0"/>
        <w:snapToGrid w:val="0"/>
        <w:spacing w:line="360" w:lineRule="auto"/>
        <w:rPr>
          <w:rFonts w:cs="仿宋" w:asciiTheme="minorEastAsia" w:hAnsiTheme="minorEastAsia" w:eastAsiaTheme="minorEastAsia"/>
          <w:sz w:val="24"/>
          <w:highlight w:val="none"/>
          <w:u w:val="dotted"/>
        </w:rPr>
      </w:pPr>
      <w:r>
        <w:rPr>
          <w:rFonts w:hint="eastAsia" w:cs="仿宋" w:asciiTheme="minorEastAsia" w:hAnsiTheme="minorEastAsia" w:eastAsiaTheme="minorEastAsia"/>
          <w:sz w:val="24"/>
          <w:highlight w:val="none"/>
        </w:rPr>
        <w:t>请求：</w:t>
      </w:r>
      <w:r>
        <w:rPr>
          <w:rFonts w:hint="eastAsia" w:cs="仿宋" w:asciiTheme="minorEastAsia" w:hAnsiTheme="minorEastAsia" w:eastAsiaTheme="minorEastAsia"/>
          <w:sz w:val="24"/>
          <w:highlight w:val="none"/>
          <w:u w:val="dotted"/>
        </w:rPr>
        <w:t xml:space="preserve">                                               </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签字(签章)：                   公章：                      </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日期：    </w:t>
      </w:r>
    </w:p>
    <w:p>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pPr>
        <w:rPr>
          <w:rFonts w:asciiTheme="minorEastAsia" w:hAnsiTheme="minorEastAsia" w:eastAsiaTheme="minorEastAsia"/>
          <w:b/>
          <w:sz w:val="28"/>
          <w:szCs w:val="32"/>
          <w:highlight w:val="none"/>
        </w:rPr>
      </w:pPr>
      <w:r>
        <w:rPr>
          <w:rFonts w:hint="eastAsia" w:asciiTheme="minorEastAsia" w:hAnsiTheme="minorEastAsia" w:eastAsiaTheme="minorEastAsia"/>
          <w:b/>
          <w:sz w:val="28"/>
          <w:szCs w:val="32"/>
          <w:highlight w:val="none"/>
        </w:rPr>
        <w:t>质疑函制作说明：</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630" w:firstLineChars="300"/>
        <w:rPr>
          <w:rFonts w:ascii="宋体" w:hAnsi="宋体" w:cs="宋体"/>
          <w:color w:val="000000"/>
          <w:szCs w:val="21"/>
          <w:highlight w:val="none"/>
        </w:rPr>
      </w:pPr>
    </w:p>
    <w:p/>
    <w:sectPr>
      <w:headerReference r:id="rId7" w:type="default"/>
      <w:footerReference r:id="rId8" w:type="default"/>
      <w:pgSz w:w="11906" w:h="16838"/>
      <w:pgMar w:top="1440" w:right="1463" w:bottom="1440" w:left="1463"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Dotum">
    <w:altName w:val="Malgun Gothic"/>
    <w:panose1 w:val="020B0600000101010101"/>
    <w:charset w:val="81"/>
    <w:family w:val="swiss"/>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8"/>
      </w:rPr>
    </w:pPr>
    <w:r>
      <w:fldChar w:fldCharType="begin"/>
    </w:r>
    <w:r>
      <w:rPr>
        <w:rStyle w:val="68"/>
      </w:rPr>
      <w:instrText xml:space="preserve">PAGE  </w:instrText>
    </w:r>
    <w:r>
      <w:fldChar w:fldCharType="separate"/>
    </w:r>
    <w:r>
      <w:rPr>
        <w:rStyle w:val="68"/>
      </w:rPr>
      <w:t>1</w:t>
    </w:r>
    <w: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三</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default" w:eastAsia="楷体_GB2312"/>
        <w:i/>
        <w:spacing w:val="-11"/>
        <w:sz w:val="21"/>
        <w:lang w:val="en-US" w:eastAsia="zh-CN"/>
      </w:rPr>
    </w:pPr>
    <w:r>
      <w:rPr>
        <w:rFonts w:hint="eastAsia" w:eastAsia="楷体_GB2312"/>
        <w:b/>
        <w:iCs/>
        <w:spacing w:val="-11"/>
        <w:sz w:val="21"/>
        <w:lang w:val="en-US" w:eastAsia="zh-CN"/>
      </w:rPr>
      <w:t>安庆职业技术学院篮球场和排球场改造项目竞争性磋商文件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2">
    <w:nsid w:val="0000000A"/>
    <w:multiLevelType w:val="singleLevel"/>
    <w:tmpl w:val="0000000A"/>
    <w:lvl w:ilvl="0" w:tentative="0">
      <w:start w:val="3"/>
      <w:numFmt w:val="chineseCounting"/>
      <w:suff w:val="nothing"/>
      <w:lvlText w:val="%1、"/>
      <w:lvlJc w:val="left"/>
      <w:rPr>
        <w:rFonts w:cs="Times New Roman"/>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7"/>
    <w:multiLevelType w:val="singleLevel"/>
    <w:tmpl w:val="00000017"/>
    <w:lvl w:ilvl="0" w:tentative="0">
      <w:start w:val="11"/>
      <w:numFmt w:val="decimal"/>
      <w:suff w:val="nothing"/>
      <w:lvlText w:val="%1、"/>
      <w:lvlJc w:val="left"/>
      <w:rPr>
        <w:rFonts w:cs="Times New Roman"/>
      </w:rPr>
    </w:lvl>
  </w:abstractNum>
  <w:abstractNum w:abstractNumId="5">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6">
    <w:nsid w:val="28684E3B"/>
    <w:multiLevelType w:val="singleLevel"/>
    <w:tmpl w:val="28684E3B"/>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7">
    <w:nsid w:val="54FE4B3A"/>
    <w:multiLevelType w:val="singleLevel"/>
    <w:tmpl w:val="54FE4B3A"/>
    <w:lvl w:ilvl="0" w:tentative="0">
      <w:start w:val="1"/>
      <w:numFmt w:val="decimal"/>
      <w:suff w:val="nothing"/>
      <w:lvlText w:val="%1."/>
      <w:lvlJc w:val="left"/>
    </w:lvl>
  </w:abstractNum>
  <w:abstractNum w:abstractNumId="8">
    <w:nsid w:val="55697878"/>
    <w:multiLevelType w:val="singleLevel"/>
    <w:tmpl w:val="55697878"/>
    <w:lvl w:ilvl="0" w:tentative="0">
      <w:start w:val="1"/>
      <w:numFmt w:val="chineseCounting"/>
      <w:suff w:val="space"/>
      <w:lvlText w:val="第%1章"/>
      <w:lvlJc w:val="left"/>
    </w:lvl>
  </w:abstractNum>
  <w:abstractNum w:abstractNumId="9">
    <w:nsid w:val="58FC10EF"/>
    <w:multiLevelType w:val="singleLevel"/>
    <w:tmpl w:val="58FC10EF"/>
    <w:lvl w:ilvl="0" w:tentative="0">
      <w:start w:val="1"/>
      <w:numFmt w:val="decimalEnclosedCircleChinese"/>
      <w:suff w:val="nothing"/>
      <w:lvlText w:val="%1　"/>
      <w:lvlJc w:val="left"/>
      <w:pPr>
        <w:ind w:left="0" w:firstLine="400"/>
      </w:pPr>
      <w:rPr>
        <w:rFonts w:hint="eastAsia"/>
      </w:rPr>
    </w:lvl>
  </w:abstractNum>
  <w:abstractNum w:abstractNumId="10">
    <w:nsid w:val="58FC1119"/>
    <w:multiLevelType w:val="singleLevel"/>
    <w:tmpl w:val="58FC1119"/>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0"/>
  </w:num>
  <w:num w:numId="3">
    <w:abstractNumId w:val="3"/>
  </w:num>
  <w:num w:numId="4">
    <w:abstractNumId w:val="5"/>
  </w:num>
  <w:num w:numId="5">
    <w:abstractNumId w:val="1"/>
  </w:num>
  <w:num w:numId="6">
    <w:abstractNumId w:val="9"/>
  </w:num>
  <w:num w:numId="7">
    <w:abstractNumId w:val="10"/>
  </w:num>
  <w:num w:numId="8">
    <w:abstractNumId w:val="2"/>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10694"/>
    <w:rsid w:val="000235B5"/>
    <w:rsid w:val="0002413E"/>
    <w:rsid w:val="00024F9F"/>
    <w:rsid w:val="000370E3"/>
    <w:rsid w:val="000507E8"/>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34CE"/>
    <w:rsid w:val="001509DE"/>
    <w:rsid w:val="00153D99"/>
    <w:rsid w:val="00157A32"/>
    <w:rsid w:val="00160F44"/>
    <w:rsid w:val="0016586D"/>
    <w:rsid w:val="00171D5E"/>
    <w:rsid w:val="00172A27"/>
    <w:rsid w:val="00186A56"/>
    <w:rsid w:val="001A2433"/>
    <w:rsid w:val="001B1EF8"/>
    <w:rsid w:val="001B3868"/>
    <w:rsid w:val="001B6DBE"/>
    <w:rsid w:val="001C2583"/>
    <w:rsid w:val="001D7738"/>
    <w:rsid w:val="001E606E"/>
    <w:rsid w:val="001F1418"/>
    <w:rsid w:val="00220D4C"/>
    <w:rsid w:val="00225FE3"/>
    <w:rsid w:val="00232BD2"/>
    <w:rsid w:val="0025055D"/>
    <w:rsid w:val="00252D15"/>
    <w:rsid w:val="00257B90"/>
    <w:rsid w:val="00261B95"/>
    <w:rsid w:val="002663B5"/>
    <w:rsid w:val="00294358"/>
    <w:rsid w:val="002978A1"/>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2F86"/>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3490"/>
    <w:rsid w:val="00596137"/>
    <w:rsid w:val="005A2494"/>
    <w:rsid w:val="005A440D"/>
    <w:rsid w:val="005A5824"/>
    <w:rsid w:val="005A7B77"/>
    <w:rsid w:val="005B05C6"/>
    <w:rsid w:val="005B1EB0"/>
    <w:rsid w:val="005B5D0C"/>
    <w:rsid w:val="005C793D"/>
    <w:rsid w:val="005D4A9A"/>
    <w:rsid w:val="005F1476"/>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13B93"/>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07A"/>
    <w:rsid w:val="00B058E8"/>
    <w:rsid w:val="00B07DD3"/>
    <w:rsid w:val="00B1159D"/>
    <w:rsid w:val="00B12DDB"/>
    <w:rsid w:val="00B20DA9"/>
    <w:rsid w:val="00B27A8E"/>
    <w:rsid w:val="00B30C14"/>
    <w:rsid w:val="00B425D7"/>
    <w:rsid w:val="00B45ABB"/>
    <w:rsid w:val="00B701B7"/>
    <w:rsid w:val="00B70CF3"/>
    <w:rsid w:val="00B71E7C"/>
    <w:rsid w:val="00B74E46"/>
    <w:rsid w:val="00B85725"/>
    <w:rsid w:val="00B903F4"/>
    <w:rsid w:val="00B93271"/>
    <w:rsid w:val="00B93AE2"/>
    <w:rsid w:val="00B93CB1"/>
    <w:rsid w:val="00B96146"/>
    <w:rsid w:val="00B96409"/>
    <w:rsid w:val="00B96BED"/>
    <w:rsid w:val="00BA2710"/>
    <w:rsid w:val="00BA6247"/>
    <w:rsid w:val="00BA791D"/>
    <w:rsid w:val="00BC0B72"/>
    <w:rsid w:val="00BD7EBA"/>
    <w:rsid w:val="00BE0AB0"/>
    <w:rsid w:val="00BE43CC"/>
    <w:rsid w:val="00C00A93"/>
    <w:rsid w:val="00C04F27"/>
    <w:rsid w:val="00C16558"/>
    <w:rsid w:val="00C17674"/>
    <w:rsid w:val="00C213A0"/>
    <w:rsid w:val="00C26F7E"/>
    <w:rsid w:val="00C34E1A"/>
    <w:rsid w:val="00C3720F"/>
    <w:rsid w:val="00C50391"/>
    <w:rsid w:val="00C52220"/>
    <w:rsid w:val="00C70C5B"/>
    <w:rsid w:val="00C80A64"/>
    <w:rsid w:val="00C82587"/>
    <w:rsid w:val="00CA1E14"/>
    <w:rsid w:val="00CA1E22"/>
    <w:rsid w:val="00CA5BBE"/>
    <w:rsid w:val="00CB1DDE"/>
    <w:rsid w:val="00CB3ADB"/>
    <w:rsid w:val="00CB3CCA"/>
    <w:rsid w:val="00CB4690"/>
    <w:rsid w:val="00CC165F"/>
    <w:rsid w:val="00CC1A8B"/>
    <w:rsid w:val="00CC1B1A"/>
    <w:rsid w:val="00CC27E5"/>
    <w:rsid w:val="00CC6D72"/>
    <w:rsid w:val="00CE2ABB"/>
    <w:rsid w:val="00D07D7D"/>
    <w:rsid w:val="00D248BB"/>
    <w:rsid w:val="00D25DBD"/>
    <w:rsid w:val="00D308B3"/>
    <w:rsid w:val="00D47E57"/>
    <w:rsid w:val="00D5782D"/>
    <w:rsid w:val="00D63918"/>
    <w:rsid w:val="00D85AC8"/>
    <w:rsid w:val="00D94D5B"/>
    <w:rsid w:val="00D95AF3"/>
    <w:rsid w:val="00DB376D"/>
    <w:rsid w:val="00DB380C"/>
    <w:rsid w:val="00DB4D62"/>
    <w:rsid w:val="00DB61C7"/>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629E7"/>
    <w:rsid w:val="00F7647B"/>
    <w:rsid w:val="00F9508F"/>
    <w:rsid w:val="00FA728E"/>
    <w:rsid w:val="00FB57EE"/>
    <w:rsid w:val="00FB654E"/>
    <w:rsid w:val="00FC682E"/>
    <w:rsid w:val="00FD138A"/>
    <w:rsid w:val="00FE506C"/>
    <w:rsid w:val="00FF22A3"/>
    <w:rsid w:val="00FF323D"/>
    <w:rsid w:val="014A70A1"/>
    <w:rsid w:val="01814321"/>
    <w:rsid w:val="01BF16D0"/>
    <w:rsid w:val="01CC0D2E"/>
    <w:rsid w:val="02251150"/>
    <w:rsid w:val="027C16B8"/>
    <w:rsid w:val="029B25E3"/>
    <w:rsid w:val="02D823E8"/>
    <w:rsid w:val="0320217A"/>
    <w:rsid w:val="034B4BE6"/>
    <w:rsid w:val="036D2DAF"/>
    <w:rsid w:val="03800D34"/>
    <w:rsid w:val="03960557"/>
    <w:rsid w:val="0397607D"/>
    <w:rsid w:val="03A74512"/>
    <w:rsid w:val="042042C5"/>
    <w:rsid w:val="04500CD8"/>
    <w:rsid w:val="045301F6"/>
    <w:rsid w:val="045F11AA"/>
    <w:rsid w:val="04787C5D"/>
    <w:rsid w:val="04952722"/>
    <w:rsid w:val="04A65A23"/>
    <w:rsid w:val="04CF03DE"/>
    <w:rsid w:val="04D8192A"/>
    <w:rsid w:val="04EA6DAD"/>
    <w:rsid w:val="0543026B"/>
    <w:rsid w:val="057274FF"/>
    <w:rsid w:val="05750F50"/>
    <w:rsid w:val="05777F14"/>
    <w:rsid w:val="058101E9"/>
    <w:rsid w:val="05B13EEE"/>
    <w:rsid w:val="05DD4740"/>
    <w:rsid w:val="05EA6938"/>
    <w:rsid w:val="06135229"/>
    <w:rsid w:val="065344DE"/>
    <w:rsid w:val="066B5890"/>
    <w:rsid w:val="06B833C2"/>
    <w:rsid w:val="07373DFF"/>
    <w:rsid w:val="07593281"/>
    <w:rsid w:val="075B5D40"/>
    <w:rsid w:val="07603356"/>
    <w:rsid w:val="07BF65A4"/>
    <w:rsid w:val="07C26242"/>
    <w:rsid w:val="07DA2F78"/>
    <w:rsid w:val="082D0D5E"/>
    <w:rsid w:val="08517166"/>
    <w:rsid w:val="085D5AE7"/>
    <w:rsid w:val="086A29F9"/>
    <w:rsid w:val="08873E29"/>
    <w:rsid w:val="08A059D4"/>
    <w:rsid w:val="08E81855"/>
    <w:rsid w:val="08FB2C0B"/>
    <w:rsid w:val="08FE7BA5"/>
    <w:rsid w:val="093323A4"/>
    <w:rsid w:val="09497E1A"/>
    <w:rsid w:val="094B3B92"/>
    <w:rsid w:val="096E17BA"/>
    <w:rsid w:val="09727371"/>
    <w:rsid w:val="0A193C90"/>
    <w:rsid w:val="0A344D55"/>
    <w:rsid w:val="0B095AB3"/>
    <w:rsid w:val="0B195D46"/>
    <w:rsid w:val="0B230A84"/>
    <w:rsid w:val="0B4F775C"/>
    <w:rsid w:val="0B7A075E"/>
    <w:rsid w:val="0B9A1EFF"/>
    <w:rsid w:val="0BB25A4B"/>
    <w:rsid w:val="0C0A3890"/>
    <w:rsid w:val="0C1977CA"/>
    <w:rsid w:val="0C6A30AA"/>
    <w:rsid w:val="0CB757EC"/>
    <w:rsid w:val="0CC06645"/>
    <w:rsid w:val="0D605732"/>
    <w:rsid w:val="0D7C79A1"/>
    <w:rsid w:val="0D844B1B"/>
    <w:rsid w:val="0D904B48"/>
    <w:rsid w:val="0DAC2D80"/>
    <w:rsid w:val="0DB42649"/>
    <w:rsid w:val="0DD57ECE"/>
    <w:rsid w:val="0E1A1D85"/>
    <w:rsid w:val="0E2B5D40"/>
    <w:rsid w:val="0E5A03D3"/>
    <w:rsid w:val="0E963B01"/>
    <w:rsid w:val="0EB61AAE"/>
    <w:rsid w:val="0F31382A"/>
    <w:rsid w:val="0F712210"/>
    <w:rsid w:val="0FB00BF3"/>
    <w:rsid w:val="0FC41FA8"/>
    <w:rsid w:val="0FE268D2"/>
    <w:rsid w:val="0FE32D76"/>
    <w:rsid w:val="1025693D"/>
    <w:rsid w:val="1035036E"/>
    <w:rsid w:val="10830351"/>
    <w:rsid w:val="10D7502F"/>
    <w:rsid w:val="10EA3C90"/>
    <w:rsid w:val="11036B00"/>
    <w:rsid w:val="11561326"/>
    <w:rsid w:val="119513BB"/>
    <w:rsid w:val="11E46AA9"/>
    <w:rsid w:val="11EB5F12"/>
    <w:rsid w:val="12274A70"/>
    <w:rsid w:val="130F79DE"/>
    <w:rsid w:val="131274CE"/>
    <w:rsid w:val="13151109"/>
    <w:rsid w:val="13392CAD"/>
    <w:rsid w:val="134578A4"/>
    <w:rsid w:val="13893C35"/>
    <w:rsid w:val="13B642FE"/>
    <w:rsid w:val="13B65E3E"/>
    <w:rsid w:val="13B81C82"/>
    <w:rsid w:val="13BE783C"/>
    <w:rsid w:val="13D36C5E"/>
    <w:rsid w:val="14003740"/>
    <w:rsid w:val="14221995"/>
    <w:rsid w:val="14264FE0"/>
    <w:rsid w:val="143A5CB7"/>
    <w:rsid w:val="146C3C63"/>
    <w:rsid w:val="14A5684C"/>
    <w:rsid w:val="14AE27FE"/>
    <w:rsid w:val="14B03EB0"/>
    <w:rsid w:val="14C11897"/>
    <w:rsid w:val="14F0383F"/>
    <w:rsid w:val="15053D99"/>
    <w:rsid w:val="1525798D"/>
    <w:rsid w:val="152E4A94"/>
    <w:rsid w:val="155913E5"/>
    <w:rsid w:val="156D6C3E"/>
    <w:rsid w:val="157224A6"/>
    <w:rsid w:val="15836462"/>
    <w:rsid w:val="15E24861"/>
    <w:rsid w:val="160B0931"/>
    <w:rsid w:val="161D0664"/>
    <w:rsid w:val="16361726"/>
    <w:rsid w:val="167F54A3"/>
    <w:rsid w:val="17485BB5"/>
    <w:rsid w:val="1776627E"/>
    <w:rsid w:val="17884241"/>
    <w:rsid w:val="17BB0135"/>
    <w:rsid w:val="17C23271"/>
    <w:rsid w:val="18210708"/>
    <w:rsid w:val="18376899"/>
    <w:rsid w:val="18507693"/>
    <w:rsid w:val="1858180A"/>
    <w:rsid w:val="1890336F"/>
    <w:rsid w:val="18A74E4B"/>
    <w:rsid w:val="193B777F"/>
    <w:rsid w:val="19477DD7"/>
    <w:rsid w:val="19641853"/>
    <w:rsid w:val="197F5A9B"/>
    <w:rsid w:val="19930995"/>
    <w:rsid w:val="19972F01"/>
    <w:rsid w:val="19975303"/>
    <w:rsid w:val="19CE1487"/>
    <w:rsid w:val="19F82AA3"/>
    <w:rsid w:val="19FA3B72"/>
    <w:rsid w:val="1A183487"/>
    <w:rsid w:val="1AAB57EB"/>
    <w:rsid w:val="1ABA4CF6"/>
    <w:rsid w:val="1AE14343"/>
    <w:rsid w:val="1B1F6C2C"/>
    <w:rsid w:val="1B522ECD"/>
    <w:rsid w:val="1B8423C3"/>
    <w:rsid w:val="1B900DED"/>
    <w:rsid w:val="1BC3591D"/>
    <w:rsid w:val="1BC80A07"/>
    <w:rsid w:val="1C142509"/>
    <w:rsid w:val="1C161DDD"/>
    <w:rsid w:val="1C5A616E"/>
    <w:rsid w:val="1C60574F"/>
    <w:rsid w:val="1C832CB9"/>
    <w:rsid w:val="1CB8239E"/>
    <w:rsid w:val="1CEE4B08"/>
    <w:rsid w:val="1D21657E"/>
    <w:rsid w:val="1D605FE0"/>
    <w:rsid w:val="1D900790"/>
    <w:rsid w:val="1DC25D24"/>
    <w:rsid w:val="1DD778C1"/>
    <w:rsid w:val="1DDC1162"/>
    <w:rsid w:val="1DFA2681"/>
    <w:rsid w:val="1E0B2E56"/>
    <w:rsid w:val="1E3429EF"/>
    <w:rsid w:val="1E3E386E"/>
    <w:rsid w:val="1F272D83"/>
    <w:rsid w:val="1F4E69DC"/>
    <w:rsid w:val="1F642118"/>
    <w:rsid w:val="1F7C289F"/>
    <w:rsid w:val="1F8D1FA7"/>
    <w:rsid w:val="1F9E2816"/>
    <w:rsid w:val="1FAB2877"/>
    <w:rsid w:val="1FB77434"/>
    <w:rsid w:val="203E7B55"/>
    <w:rsid w:val="208F03B0"/>
    <w:rsid w:val="20BD2964"/>
    <w:rsid w:val="20CA3197"/>
    <w:rsid w:val="20F22F8D"/>
    <w:rsid w:val="210D6AF8"/>
    <w:rsid w:val="21224D81"/>
    <w:rsid w:val="213B5E42"/>
    <w:rsid w:val="213B6468"/>
    <w:rsid w:val="21415B4F"/>
    <w:rsid w:val="21DC7625"/>
    <w:rsid w:val="21EE0628"/>
    <w:rsid w:val="221768AF"/>
    <w:rsid w:val="22255811"/>
    <w:rsid w:val="223C3874"/>
    <w:rsid w:val="22884471"/>
    <w:rsid w:val="22F95FB5"/>
    <w:rsid w:val="230A1F70"/>
    <w:rsid w:val="23231248"/>
    <w:rsid w:val="233C5E2B"/>
    <w:rsid w:val="234F74DA"/>
    <w:rsid w:val="238F79C2"/>
    <w:rsid w:val="23A14EBC"/>
    <w:rsid w:val="23B51EDC"/>
    <w:rsid w:val="23F073B8"/>
    <w:rsid w:val="2430365E"/>
    <w:rsid w:val="247F027C"/>
    <w:rsid w:val="249064A5"/>
    <w:rsid w:val="24A81A41"/>
    <w:rsid w:val="24AB32DF"/>
    <w:rsid w:val="24B623B0"/>
    <w:rsid w:val="24EF58C2"/>
    <w:rsid w:val="24F9229C"/>
    <w:rsid w:val="250D7AF6"/>
    <w:rsid w:val="25270BB7"/>
    <w:rsid w:val="25545725"/>
    <w:rsid w:val="25873673"/>
    <w:rsid w:val="25981AB5"/>
    <w:rsid w:val="25C96113"/>
    <w:rsid w:val="25DA20CE"/>
    <w:rsid w:val="26981E89"/>
    <w:rsid w:val="26E00C03"/>
    <w:rsid w:val="27117D71"/>
    <w:rsid w:val="275027EC"/>
    <w:rsid w:val="27D86AE1"/>
    <w:rsid w:val="27DB3EDB"/>
    <w:rsid w:val="27F21951"/>
    <w:rsid w:val="280F14ED"/>
    <w:rsid w:val="28173165"/>
    <w:rsid w:val="28D50DF9"/>
    <w:rsid w:val="291D7D66"/>
    <w:rsid w:val="291E6775"/>
    <w:rsid w:val="29912F65"/>
    <w:rsid w:val="29A46C7B"/>
    <w:rsid w:val="29C2456E"/>
    <w:rsid w:val="29CC7539"/>
    <w:rsid w:val="29CE71F1"/>
    <w:rsid w:val="29DD3F3B"/>
    <w:rsid w:val="29E65E68"/>
    <w:rsid w:val="2A2052A5"/>
    <w:rsid w:val="2A570191"/>
    <w:rsid w:val="2A585CB7"/>
    <w:rsid w:val="2A6147B1"/>
    <w:rsid w:val="2A952913"/>
    <w:rsid w:val="2AB90504"/>
    <w:rsid w:val="2AC670C5"/>
    <w:rsid w:val="2AD74E2E"/>
    <w:rsid w:val="2B055E54"/>
    <w:rsid w:val="2B20786D"/>
    <w:rsid w:val="2B4E3C62"/>
    <w:rsid w:val="2B683CD8"/>
    <w:rsid w:val="2B6A7A50"/>
    <w:rsid w:val="2BD82C0B"/>
    <w:rsid w:val="2C1840D0"/>
    <w:rsid w:val="2C365820"/>
    <w:rsid w:val="2C5379A3"/>
    <w:rsid w:val="2C6E531E"/>
    <w:rsid w:val="2CBB2BBF"/>
    <w:rsid w:val="2CC3566A"/>
    <w:rsid w:val="2CD77367"/>
    <w:rsid w:val="2CDD10B0"/>
    <w:rsid w:val="2CFC2D0C"/>
    <w:rsid w:val="2D235F51"/>
    <w:rsid w:val="2D2B320F"/>
    <w:rsid w:val="2D4F1E09"/>
    <w:rsid w:val="2D585055"/>
    <w:rsid w:val="2D7245D7"/>
    <w:rsid w:val="2DBF0B60"/>
    <w:rsid w:val="2DC25921"/>
    <w:rsid w:val="2DF751F3"/>
    <w:rsid w:val="2E7806D6"/>
    <w:rsid w:val="2E891740"/>
    <w:rsid w:val="2EC13E2B"/>
    <w:rsid w:val="2ED75A9F"/>
    <w:rsid w:val="2EE43FBD"/>
    <w:rsid w:val="2F01691D"/>
    <w:rsid w:val="2F4131BE"/>
    <w:rsid w:val="2F5176F4"/>
    <w:rsid w:val="2F5842D0"/>
    <w:rsid w:val="2F7D2448"/>
    <w:rsid w:val="2F911A4F"/>
    <w:rsid w:val="2FB568D8"/>
    <w:rsid w:val="301B6ABB"/>
    <w:rsid w:val="30444D13"/>
    <w:rsid w:val="306233EC"/>
    <w:rsid w:val="30A532D8"/>
    <w:rsid w:val="30A734F4"/>
    <w:rsid w:val="30CF397A"/>
    <w:rsid w:val="314B586D"/>
    <w:rsid w:val="31523460"/>
    <w:rsid w:val="317008F8"/>
    <w:rsid w:val="3180477F"/>
    <w:rsid w:val="318B2DE8"/>
    <w:rsid w:val="319603E0"/>
    <w:rsid w:val="31CE0296"/>
    <w:rsid w:val="31DA771B"/>
    <w:rsid w:val="31F462B5"/>
    <w:rsid w:val="31FD161E"/>
    <w:rsid w:val="32034DFD"/>
    <w:rsid w:val="32236BAB"/>
    <w:rsid w:val="32333292"/>
    <w:rsid w:val="32427031"/>
    <w:rsid w:val="325E7BE3"/>
    <w:rsid w:val="32734AB3"/>
    <w:rsid w:val="32B67A1F"/>
    <w:rsid w:val="32CF177B"/>
    <w:rsid w:val="330E785B"/>
    <w:rsid w:val="332208C5"/>
    <w:rsid w:val="33245516"/>
    <w:rsid w:val="332A12A6"/>
    <w:rsid w:val="332E1CAB"/>
    <w:rsid w:val="335E60EC"/>
    <w:rsid w:val="336E20A7"/>
    <w:rsid w:val="339A780E"/>
    <w:rsid w:val="33A45AC9"/>
    <w:rsid w:val="33C7466E"/>
    <w:rsid w:val="33F341D0"/>
    <w:rsid w:val="33FB52BF"/>
    <w:rsid w:val="3483314F"/>
    <w:rsid w:val="348E350D"/>
    <w:rsid w:val="34A51AF9"/>
    <w:rsid w:val="34A924E6"/>
    <w:rsid w:val="34DD1634"/>
    <w:rsid w:val="34EF173F"/>
    <w:rsid w:val="34F85693"/>
    <w:rsid w:val="35150A2C"/>
    <w:rsid w:val="35675000"/>
    <w:rsid w:val="358D4674"/>
    <w:rsid w:val="35A65B28"/>
    <w:rsid w:val="35AF70D3"/>
    <w:rsid w:val="35BD418B"/>
    <w:rsid w:val="35F8221C"/>
    <w:rsid w:val="36394BEF"/>
    <w:rsid w:val="366B28CE"/>
    <w:rsid w:val="37321483"/>
    <w:rsid w:val="375743B3"/>
    <w:rsid w:val="37985AD8"/>
    <w:rsid w:val="37A328ED"/>
    <w:rsid w:val="37AD13F0"/>
    <w:rsid w:val="37CB124E"/>
    <w:rsid w:val="37DF3574"/>
    <w:rsid w:val="38193C21"/>
    <w:rsid w:val="385755ED"/>
    <w:rsid w:val="386C4120"/>
    <w:rsid w:val="3885236D"/>
    <w:rsid w:val="38C24857"/>
    <w:rsid w:val="38C369F1"/>
    <w:rsid w:val="38C649FE"/>
    <w:rsid w:val="390C2146"/>
    <w:rsid w:val="39111E53"/>
    <w:rsid w:val="393079B7"/>
    <w:rsid w:val="393B2A2C"/>
    <w:rsid w:val="393F251C"/>
    <w:rsid w:val="398E5251"/>
    <w:rsid w:val="39A35BBB"/>
    <w:rsid w:val="39AF66BF"/>
    <w:rsid w:val="39C50CD2"/>
    <w:rsid w:val="3A192D6D"/>
    <w:rsid w:val="3A5C2DAD"/>
    <w:rsid w:val="3A9E4562"/>
    <w:rsid w:val="3AA355F5"/>
    <w:rsid w:val="3ABE1D50"/>
    <w:rsid w:val="3AC86541"/>
    <w:rsid w:val="3AD82C28"/>
    <w:rsid w:val="3AFD443D"/>
    <w:rsid w:val="3B221E4C"/>
    <w:rsid w:val="3B42536A"/>
    <w:rsid w:val="3B490D13"/>
    <w:rsid w:val="3B6D2B65"/>
    <w:rsid w:val="3B8E76B3"/>
    <w:rsid w:val="3BBF1F9C"/>
    <w:rsid w:val="3C464B9A"/>
    <w:rsid w:val="3C4D6CFE"/>
    <w:rsid w:val="3C805325"/>
    <w:rsid w:val="3CAB2861"/>
    <w:rsid w:val="3CC40C81"/>
    <w:rsid w:val="3D2A0C8E"/>
    <w:rsid w:val="3D4A5933"/>
    <w:rsid w:val="3D713C61"/>
    <w:rsid w:val="3DCB1202"/>
    <w:rsid w:val="3E0B71A4"/>
    <w:rsid w:val="3E447E06"/>
    <w:rsid w:val="3ECB1845"/>
    <w:rsid w:val="3F8A0269"/>
    <w:rsid w:val="3F9D7F9C"/>
    <w:rsid w:val="3FC217B1"/>
    <w:rsid w:val="4001677D"/>
    <w:rsid w:val="40094B23"/>
    <w:rsid w:val="40381097"/>
    <w:rsid w:val="409F41D0"/>
    <w:rsid w:val="40AF38B0"/>
    <w:rsid w:val="40B737CE"/>
    <w:rsid w:val="40C7080B"/>
    <w:rsid w:val="40CD20CB"/>
    <w:rsid w:val="40DA4210"/>
    <w:rsid w:val="413B7A6D"/>
    <w:rsid w:val="413C3FE6"/>
    <w:rsid w:val="41A25D5E"/>
    <w:rsid w:val="41D96DC7"/>
    <w:rsid w:val="41E579D9"/>
    <w:rsid w:val="42276243"/>
    <w:rsid w:val="422E137F"/>
    <w:rsid w:val="42510F1E"/>
    <w:rsid w:val="4257689B"/>
    <w:rsid w:val="425979EA"/>
    <w:rsid w:val="42642FF3"/>
    <w:rsid w:val="42984A4A"/>
    <w:rsid w:val="434444D3"/>
    <w:rsid w:val="43F7210E"/>
    <w:rsid w:val="446B0669"/>
    <w:rsid w:val="4493196E"/>
    <w:rsid w:val="44A11E3A"/>
    <w:rsid w:val="44DC36D4"/>
    <w:rsid w:val="44E170F6"/>
    <w:rsid w:val="451E2C13"/>
    <w:rsid w:val="4530540F"/>
    <w:rsid w:val="45BA2812"/>
    <w:rsid w:val="45C049E4"/>
    <w:rsid w:val="45E9546A"/>
    <w:rsid w:val="464E2801"/>
    <w:rsid w:val="467A1037"/>
    <w:rsid w:val="46B57F9F"/>
    <w:rsid w:val="472B40E0"/>
    <w:rsid w:val="472D60AA"/>
    <w:rsid w:val="4791366F"/>
    <w:rsid w:val="47B16ED3"/>
    <w:rsid w:val="4816231D"/>
    <w:rsid w:val="482173AE"/>
    <w:rsid w:val="484136AD"/>
    <w:rsid w:val="484C255F"/>
    <w:rsid w:val="486755EB"/>
    <w:rsid w:val="48900CEB"/>
    <w:rsid w:val="4893018E"/>
    <w:rsid w:val="489F2FD7"/>
    <w:rsid w:val="48E0542F"/>
    <w:rsid w:val="4902001F"/>
    <w:rsid w:val="492D2391"/>
    <w:rsid w:val="494616A5"/>
    <w:rsid w:val="498560FB"/>
    <w:rsid w:val="49AD34D2"/>
    <w:rsid w:val="49B760FE"/>
    <w:rsid w:val="49C10D2B"/>
    <w:rsid w:val="4A0846EE"/>
    <w:rsid w:val="4A34774F"/>
    <w:rsid w:val="4A5676C5"/>
    <w:rsid w:val="4A722025"/>
    <w:rsid w:val="4A835FE1"/>
    <w:rsid w:val="4A9B77CE"/>
    <w:rsid w:val="4AC26B09"/>
    <w:rsid w:val="4AFD616C"/>
    <w:rsid w:val="4B0C4228"/>
    <w:rsid w:val="4B367F93"/>
    <w:rsid w:val="4B73144C"/>
    <w:rsid w:val="4BD17077"/>
    <w:rsid w:val="4BDD5BE0"/>
    <w:rsid w:val="4BE86A43"/>
    <w:rsid w:val="4C325F10"/>
    <w:rsid w:val="4C356EDA"/>
    <w:rsid w:val="4C5440F5"/>
    <w:rsid w:val="4C9269AF"/>
    <w:rsid w:val="4CA4502D"/>
    <w:rsid w:val="4CE0771A"/>
    <w:rsid w:val="4CF32B22"/>
    <w:rsid w:val="4D1F46E6"/>
    <w:rsid w:val="4D640B9B"/>
    <w:rsid w:val="4D6E2635"/>
    <w:rsid w:val="4D907392"/>
    <w:rsid w:val="4DA27269"/>
    <w:rsid w:val="4DA70238"/>
    <w:rsid w:val="4DBB4542"/>
    <w:rsid w:val="4DCD4142"/>
    <w:rsid w:val="4E3B47E2"/>
    <w:rsid w:val="4EB96475"/>
    <w:rsid w:val="4ECC43FA"/>
    <w:rsid w:val="4EF179BD"/>
    <w:rsid w:val="4F203965"/>
    <w:rsid w:val="4F2A1121"/>
    <w:rsid w:val="4F5B1A36"/>
    <w:rsid w:val="4FBB03E3"/>
    <w:rsid w:val="4FE53EE9"/>
    <w:rsid w:val="4FE60998"/>
    <w:rsid w:val="50083210"/>
    <w:rsid w:val="500C7B50"/>
    <w:rsid w:val="502D0199"/>
    <w:rsid w:val="509C604E"/>
    <w:rsid w:val="50D17AA6"/>
    <w:rsid w:val="50D852D8"/>
    <w:rsid w:val="50DB448D"/>
    <w:rsid w:val="50F7236D"/>
    <w:rsid w:val="50F814D6"/>
    <w:rsid w:val="50F961CB"/>
    <w:rsid w:val="5107796B"/>
    <w:rsid w:val="510C31D4"/>
    <w:rsid w:val="512B026F"/>
    <w:rsid w:val="51416F08"/>
    <w:rsid w:val="516861FD"/>
    <w:rsid w:val="518266FB"/>
    <w:rsid w:val="51856AE2"/>
    <w:rsid w:val="51986815"/>
    <w:rsid w:val="521F11F2"/>
    <w:rsid w:val="528374C6"/>
    <w:rsid w:val="52D715BF"/>
    <w:rsid w:val="52EC506B"/>
    <w:rsid w:val="53187089"/>
    <w:rsid w:val="534045C6"/>
    <w:rsid w:val="53984ED9"/>
    <w:rsid w:val="53C03E02"/>
    <w:rsid w:val="53E83EFF"/>
    <w:rsid w:val="53FA6682"/>
    <w:rsid w:val="54092DFC"/>
    <w:rsid w:val="541128AF"/>
    <w:rsid w:val="544F0538"/>
    <w:rsid w:val="546220D4"/>
    <w:rsid w:val="547759FD"/>
    <w:rsid w:val="54F63F7F"/>
    <w:rsid w:val="55116BE9"/>
    <w:rsid w:val="55713605"/>
    <w:rsid w:val="55A41948"/>
    <w:rsid w:val="55B856D8"/>
    <w:rsid w:val="55D342C0"/>
    <w:rsid w:val="560E52F8"/>
    <w:rsid w:val="5627572A"/>
    <w:rsid w:val="56432532"/>
    <w:rsid w:val="56713F6D"/>
    <w:rsid w:val="56BD287A"/>
    <w:rsid w:val="56E4170E"/>
    <w:rsid w:val="570D735E"/>
    <w:rsid w:val="572F19CA"/>
    <w:rsid w:val="57680A38"/>
    <w:rsid w:val="57793128"/>
    <w:rsid w:val="579F706F"/>
    <w:rsid w:val="57A001D2"/>
    <w:rsid w:val="57EC1669"/>
    <w:rsid w:val="5818420C"/>
    <w:rsid w:val="58626891"/>
    <w:rsid w:val="58703EC0"/>
    <w:rsid w:val="58896EB8"/>
    <w:rsid w:val="58AE5938"/>
    <w:rsid w:val="58C3061C"/>
    <w:rsid w:val="58C44394"/>
    <w:rsid w:val="58E95BA9"/>
    <w:rsid w:val="58EB1921"/>
    <w:rsid w:val="59097FF9"/>
    <w:rsid w:val="59177DD3"/>
    <w:rsid w:val="591E2032"/>
    <w:rsid w:val="592941F7"/>
    <w:rsid w:val="59605E6B"/>
    <w:rsid w:val="59A26483"/>
    <w:rsid w:val="59BE7035"/>
    <w:rsid w:val="59CC52AE"/>
    <w:rsid w:val="5A0C6D14"/>
    <w:rsid w:val="5A2A57A8"/>
    <w:rsid w:val="5A317655"/>
    <w:rsid w:val="5A334F63"/>
    <w:rsid w:val="5B06732C"/>
    <w:rsid w:val="5B24736C"/>
    <w:rsid w:val="5B2829B8"/>
    <w:rsid w:val="5B40082B"/>
    <w:rsid w:val="5BD7E436"/>
    <w:rsid w:val="5C153A6D"/>
    <w:rsid w:val="5C8C4ABC"/>
    <w:rsid w:val="5C992CB7"/>
    <w:rsid w:val="5CAF08D6"/>
    <w:rsid w:val="5CE22611"/>
    <w:rsid w:val="5DA54794"/>
    <w:rsid w:val="5DEE3CCB"/>
    <w:rsid w:val="5E1C432A"/>
    <w:rsid w:val="5E856373"/>
    <w:rsid w:val="5EDC48AA"/>
    <w:rsid w:val="5EFA466C"/>
    <w:rsid w:val="5F2931A3"/>
    <w:rsid w:val="5F353A87"/>
    <w:rsid w:val="5F773F0E"/>
    <w:rsid w:val="5FA81E73"/>
    <w:rsid w:val="5FB17120"/>
    <w:rsid w:val="5FEB14C7"/>
    <w:rsid w:val="6023301C"/>
    <w:rsid w:val="604202B7"/>
    <w:rsid w:val="606D4E02"/>
    <w:rsid w:val="60912DAE"/>
    <w:rsid w:val="60BA6EBD"/>
    <w:rsid w:val="60CE7381"/>
    <w:rsid w:val="61151C31"/>
    <w:rsid w:val="611F03B9"/>
    <w:rsid w:val="612D0161"/>
    <w:rsid w:val="614F7E1C"/>
    <w:rsid w:val="616E29A4"/>
    <w:rsid w:val="61C947C9"/>
    <w:rsid w:val="621C643B"/>
    <w:rsid w:val="623747A6"/>
    <w:rsid w:val="62854B94"/>
    <w:rsid w:val="62C3659D"/>
    <w:rsid w:val="62D022B3"/>
    <w:rsid w:val="62DB7426"/>
    <w:rsid w:val="62DC29EF"/>
    <w:rsid w:val="639826A5"/>
    <w:rsid w:val="63AB23D8"/>
    <w:rsid w:val="63B76FCF"/>
    <w:rsid w:val="63CD0D09"/>
    <w:rsid w:val="63D61F02"/>
    <w:rsid w:val="64D92F75"/>
    <w:rsid w:val="65562818"/>
    <w:rsid w:val="65635DBB"/>
    <w:rsid w:val="65714B40"/>
    <w:rsid w:val="659375C8"/>
    <w:rsid w:val="65DD1BAC"/>
    <w:rsid w:val="660D737A"/>
    <w:rsid w:val="66312D2C"/>
    <w:rsid w:val="6635067F"/>
    <w:rsid w:val="66652D12"/>
    <w:rsid w:val="66D52C05"/>
    <w:rsid w:val="66F66060"/>
    <w:rsid w:val="672C7B66"/>
    <w:rsid w:val="67401089"/>
    <w:rsid w:val="67E71B6D"/>
    <w:rsid w:val="682E35D8"/>
    <w:rsid w:val="684D3A5E"/>
    <w:rsid w:val="684F3C7A"/>
    <w:rsid w:val="6874548F"/>
    <w:rsid w:val="69112CDD"/>
    <w:rsid w:val="695E1834"/>
    <w:rsid w:val="69760181"/>
    <w:rsid w:val="69DD742D"/>
    <w:rsid w:val="69F14322"/>
    <w:rsid w:val="6A3F5393"/>
    <w:rsid w:val="6AA81420"/>
    <w:rsid w:val="6B0A20DA"/>
    <w:rsid w:val="6B5C045C"/>
    <w:rsid w:val="6B6F4633"/>
    <w:rsid w:val="6B8B6300"/>
    <w:rsid w:val="6B8E1AE6"/>
    <w:rsid w:val="6BC06C3D"/>
    <w:rsid w:val="6BF6265F"/>
    <w:rsid w:val="6C9D193B"/>
    <w:rsid w:val="6CA81BAB"/>
    <w:rsid w:val="6CAF118B"/>
    <w:rsid w:val="6CE460BF"/>
    <w:rsid w:val="6D2F5E28"/>
    <w:rsid w:val="6D54763D"/>
    <w:rsid w:val="6D9C0627"/>
    <w:rsid w:val="6DBE0F5A"/>
    <w:rsid w:val="6DC02F24"/>
    <w:rsid w:val="6DC34565"/>
    <w:rsid w:val="6DC76061"/>
    <w:rsid w:val="6E3B25AB"/>
    <w:rsid w:val="6E414065"/>
    <w:rsid w:val="6EBB7EF2"/>
    <w:rsid w:val="6ECB0CC0"/>
    <w:rsid w:val="6F1352D6"/>
    <w:rsid w:val="6F4F27B2"/>
    <w:rsid w:val="6F511CB2"/>
    <w:rsid w:val="6F5371D5"/>
    <w:rsid w:val="6F5D2DB6"/>
    <w:rsid w:val="6F6F2A05"/>
    <w:rsid w:val="6F91445A"/>
    <w:rsid w:val="6F9704F2"/>
    <w:rsid w:val="6FBB10C2"/>
    <w:rsid w:val="6FD44A65"/>
    <w:rsid w:val="6FDB730A"/>
    <w:rsid w:val="700A4B8C"/>
    <w:rsid w:val="704E4817"/>
    <w:rsid w:val="70525B30"/>
    <w:rsid w:val="70562C20"/>
    <w:rsid w:val="706909BC"/>
    <w:rsid w:val="70836636"/>
    <w:rsid w:val="708F623C"/>
    <w:rsid w:val="70D23371"/>
    <w:rsid w:val="714D7563"/>
    <w:rsid w:val="71B66C66"/>
    <w:rsid w:val="71FA5AA8"/>
    <w:rsid w:val="72633288"/>
    <w:rsid w:val="72767946"/>
    <w:rsid w:val="72C472CE"/>
    <w:rsid w:val="72D66D46"/>
    <w:rsid w:val="73011552"/>
    <w:rsid w:val="73025D8D"/>
    <w:rsid w:val="731A76E0"/>
    <w:rsid w:val="73493046"/>
    <w:rsid w:val="73613512"/>
    <w:rsid w:val="736B748E"/>
    <w:rsid w:val="73876782"/>
    <w:rsid w:val="73927111"/>
    <w:rsid w:val="73A017A5"/>
    <w:rsid w:val="74054476"/>
    <w:rsid w:val="740873D3"/>
    <w:rsid w:val="750E6F11"/>
    <w:rsid w:val="7521074C"/>
    <w:rsid w:val="75223394"/>
    <w:rsid w:val="75265D63"/>
    <w:rsid w:val="754423A4"/>
    <w:rsid w:val="754D3C88"/>
    <w:rsid w:val="755778E6"/>
    <w:rsid w:val="756676A9"/>
    <w:rsid w:val="75671ED7"/>
    <w:rsid w:val="75774810"/>
    <w:rsid w:val="7584082B"/>
    <w:rsid w:val="758E56B6"/>
    <w:rsid w:val="75AC3F78"/>
    <w:rsid w:val="75C16B30"/>
    <w:rsid w:val="760D34E9"/>
    <w:rsid w:val="761A519B"/>
    <w:rsid w:val="76397D18"/>
    <w:rsid w:val="76B4114C"/>
    <w:rsid w:val="76DB2B7D"/>
    <w:rsid w:val="76DD2BE9"/>
    <w:rsid w:val="76EC4D8A"/>
    <w:rsid w:val="77057BFA"/>
    <w:rsid w:val="7746449A"/>
    <w:rsid w:val="77802E20"/>
    <w:rsid w:val="77AD276B"/>
    <w:rsid w:val="77D469A2"/>
    <w:rsid w:val="77DA2E34"/>
    <w:rsid w:val="77E340C1"/>
    <w:rsid w:val="78CE5900"/>
    <w:rsid w:val="78F26A43"/>
    <w:rsid w:val="78FD74BC"/>
    <w:rsid w:val="795804B5"/>
    <w:rsid w:val="79757CE4"/>
    <w:rsid w:val="798E037A"/>
    <w:rsid w:val="79E678D8"/>
    <w:rsid w:val="7A291E51"/>
    <w:rsid w:val="7A5E7D4D"/>
    <w:rsid w:val="7A8552D9"/>
    <w:rsid w:val="7AB21E46"/>
    <w:rsid w:val="7ACA7190"/>
    <w:rsid w:val="7AE13BD4"/>
    <w:rsid w:val="7AEA3EDE"/>
    <w:rsid w:val="7AFD4FEE"/>
    <w:rsid w:val="7B272834"/>
    <w:rsid w:val="7B424F4D"/>
    <w:rsid w:val="7BD55DED"/>
    <w:rsid w:val="7C55517F"/>
    <w:rsid w:val="7C5D4F21"/>
    <w:rsid w:val="7C7C270C"/>
    <w:rsid w:val="7C8C3EAE"/>
    <w:rsid w:val="7CB62F91"/>
    <w:rsid w:val="7CC67FAC"/>
    <w:rsid w:val="7CDF66A3"/>
    <w:rsid w:val="7D07647A"/>
    <w:rsid w:val="7D241EA7"/>
    <w:rsid w:val="7DA71A0B"/>
    <w:rsid w:val="7DB008BF"/>
    <w:rsid w:val="7DD50326"/>
    <w:rsid w:val="7DDB3462"/>
    <w:rsid w:val="7DE14F1D"/>
    <w:rsid w:val="7E470AF8"/>
    <w:rsid w:val="7E490921"/>
    <w:rsid w:val="7E652573"/>
    <w:rsid w:val="7E7E276B"/>
    <w:rsid w:val="7E9B46C6"/>
    <w:rsid w:val="7F177E9D"/>
    <w:rsid w:val="7F4C286A"/>
    <w:rsid w:val="7F792F33"/>
    <w:rsid w:val="7F9A6D72"/>
    <w:rsid w:val="7FAA7590"/>
    <w:rsid w:val="7FE6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1"/>
    <w:link w:val="168"/>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6"/>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qFormat/>
    <w:uiPriority w:val="0"/>
    <w:pPr>
      <w:keepNext/>
      <w:keepLines/>
      <w:spacing w:before="120" w:after="120"/>
      <w:outlineLvl w:val="3"/>
    </w:pPr>
    <w:rPr>
      <w:rFonts w:ascii="Arial" w:hAnsi="Arial" w:eastAsia="黑体"/>
      <w:b/>
      <w:sz w:val="20"/>
    </w:rPr>
  </w:style>
  <w:style w:type="paragraph" w:styleId="8">
    <w:name w:val="heading 5"/>
    <w:basedOn w:val="1"/>
    <w:next w:val="6"/>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qFormat/>
    <w:uiPriority w:val="0"/>
    <w:pPr>
      <w:keepNext/>
      <w:keepLines/>
      <w:spacing w:before="240" w:after="64" w:line="319" w:lineRule="auto"/>
      <w:outlineLvl w:val="6"/>
    </w:pPr>
    <w:rPr>
      <w:b/>
      <w:bCs/>
      <w:sz w:val="24"/>
      <w:szCs w:val="24"/>
    </w:rPr>
  </w:style>
  <w:style w:type="paragraph" w:styleId="11">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6">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5"/>
    <w:qFormat/>
    <w:uiPriority w:val="0"/>
    <w:pPr>
      <w:shd w:val="clear" w:color="auto" w:fill="000080"/>
    </w:pPr>
    <w:rPr>
      <w:rFonts w:ascii="宋体"/>
      <w:sz w:val="18"/>
      <w:szCs w:val="18"/>
    </w:rPr>
  </w:style>
  <w:style w:type="paragraph" w:styleId="20">
    <w:name w:val="annotation text"/>
    <w:basedOn w:val="1"/>
    <w:link w:val="137"/>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201"/>
    <w:qFormat/>
    <w:uiPriority w:val="0"/>
    <w:rPr>
      <w:rFonts w:ascii="仿宋_GB2312" w:eastAsia="仿宋_GB2312"/>
      <w:sz w:val="20"/>
    </w:rPr>
  </w:style>
  <w:style w:type="paragraph" w:styleId="23">
    <w:name w:val="Body Text 3"/>
    <w:basedOn w:val="1"/>
    <w:link w:val="98"/>
    <w:qFormat/>
    <w:uiPriority w:val="0"/>
    <w:rPr>
      <w:rFonts w:ascii="仿宋_GB2312" w:hAnsi="Arial" w:eastAsia="仿宋_GB2312"/>
      <w:sz w:val="20"/>
    </w:rPr>
  </w:style>
  <w:style w:type="paragraph" w:styleId="24">
    <w:name w:val="Body Text"/>
    <w:basedOn w:val="1"/>
    <w:next w:val="25"/>
    <w:link w:val="85"/>
    <w:qFormat/>
    <w:uiPriority w:val="0"/>
    <w:rPr>
      <w:rFonts w:ascii="楷体_GB2312" w:hAnsi="Arial" w:eastAsia="楷体_GB2312"/>
      <w:sz w:val="20"/>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Body Text Indent"/>
    <w:basedOn w:val="1"/>
    <w:next w:val="27"/>
    <w:link w:val="178"/>
    <w:qFormat/>
    <w:uiPriority w:val="0"/>
    <w:pPr>
      <w:ind w:firstLine="645"/>
    </w:pPr>
    <w:rPr>
      <w:sz w:val="20"/>
    </w:rPr>
  </w:style>
  <w:style w:type="paragraph" w:styleId="27">
    <w:name w:val="envelope return"/>
    <w:basedOn w:val="1"/>
    <w:next w:val="28"/>
    <w:qFormat/>
    <w:uiPriority w:val="0"/>
    <w:pPr>
      <w:snapToGrid w:val="0"/>
    </w:pPr>
    <w:rPr>
      <w:rFonts w:ascii="Arial" w:hAnsi="Arial"/>
    </w:rPr>
  </w:style>
  <w:style w:type="paragraph" w:styleId="28">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9">
    <w:name w:val="List Bullet 2"/>
    <w:basedOn w:val="1"/>
    <w:semiHidden/>
    <w:unhideWhenUsed/>
    <w:qFormat/>
    <w:uiPriority w:val="99"/>
    <w:pPr>
      <w:numPr>
        <w:ilvl w:val="0"/>
        <w:numId w:val="1"/>
      </w:numPr>
    </w:pPr>
  </w:style>
  <w:style w:type="paragraph" w:styleId="30">
    <w:name w:val="index 4"/>
    <w:basedOn w:val="1"/>
    <w:next w:val="1"/>
    <w:qFormat/>
    <w:uiPriority w:val="0"/>
    <w:pPr>
      <w:ind w:left="1260"/>
    </w:pPr>
  </w:style>
  <w:style w:type="paragraph" w:styleId="31">
    <w:name w:val="toc 5"/>
    <w:basedOn w:val="1"/>
    <w:next w:val="1"/>
    <w:qFormat/>
    <w:uiPriority w:val="0"/>
    <w:pPr>
      <w:ind w:left="840"/>
      <w:jc w:val="left"/>
    </w:pPr>
    <w:rPr>
      <w:sz w:val="18"/>
    </w:rPr>
  </w:style>
  <w:style w:type="paragraph" w:styleId="32">
    <w:name w:val="toc 3"/>
    <w:basedOn w:val="1"/>
    <w:next w:val="1"/>
    <w:qFormat/>
    <w:uiPriority w:val="39"/>
    <w:pPr>
      <w:ind w:left="420"/>
      <w:jc w:val="left"/>
    </w:pPr>
    <w:rPr>
      <w:i/>
      <w:sz w:val="20"/>
    </w:rPr>
  </w:style>
  <w:style w:type="paragraph" w:styleId="33">
    <w:name w:val="Plain Text"/>
    <w:basedOn w:val="1"/>
    <w:link w:val="130"/>
    <w:qFormat/>
    <w:uiPriority w:val="99"/>
    <w:rPr>
      <w:rFonts w:ascii="宋体" w:hAnsi="Courier New" w:cs="Courier New"/>
      <w:szCs w:val="21"/>
    </w:rPr>
  </w:style>
  <w:style w:type="paragraph" w:styleId="34">
    <w:name w:val="toc 8"/>
    <w:basedOn w:val="1"/>
    <w:next w:val="1"/>
    <w:qFormat/>
    <w:uiPriority w:val="0"/>
    <w:pPr>
      <w:ind w:left="1470"/>
      <w:jc w:val="left"/>
    </w:pPr>
    <w:rPr>
      <w:sz w:val="18"/>
    </w:rPr>
  </w:style>
  <w:style w:type="paragraph" w:styleId="35">
    <w:name w:val="index 3"/>
    <w:basedOn w:val="1"/>
    <w:next w:val="1"/>
    <w:qFormat/>
    <w:uiPriority w:val="0"/>
    <w:pPr>
      <w:ind w:left="840"/>
    </w:pPr>
  </w:style>
  <w:style w:type="paragraph" w:styleId="36">
    <w:name w:val="Date"/>
    <w:basedOn w:val="1"/>
    <w:next w:val="1"/>
    <w:link w:val="149"/>
    <w:qFormat/>
    <w:uiPriority w:val="0"/>
    <w:pPr>
      <w:ind w:left="100" w:leftChars="2500"/>
    </w:pPr>
    <w:rPr>
      <w:sz w:val="20"/>
    </w:rPr>
  </w:style>
  <w:style w:type="paragraph" w:styleId="37">
    <w:name w:val="Body Text Indent 2"/>
    <w:basedOn w:val="1"/>
    <w:link w:val="172"/>
    <w:qFormat/>
    <w:uiPriority w:val="0"/>
    <w:pPr>
      <w:ind w:left="630" w:firstLine="645"/>
    </w:pPr>
    <w:rPr>
      <w:sz w:val="20"/>
    </w:rPr>
  </w:style>
  <w:style w:type="paragraph" w:styleId="38">
    <w:name w:val="endnote text"/>
    <w:basedOn w:val="1"/>
    <w:link w:val="215"/>
    <w:qFormat/>
    <w:uiPriority w:val="0"/>
    <w:pPr>
      <w:snapToGrid w:val="0"/>
      <w:jc w:val="left"/>
    </w:pPr>
    <w:rPr>
      <w:kern w:val="0"/>
      <w:sz w:val="24"/>
      <w:szCs w:val="24"/>
    </w:rPr>
  </w:style>
  <w:style w:type="paragraph" w:styleId="39">
    <w:name w:val="Balloon Text"/>
    <w:basedOn w:val="1"/>
    <w:link w:val="214"/>
    <w:qFormat/>
    <w:uiPriority w:val="0"/>
    <w:rPr>
      <w:sz w:val="18"/>
      <w:szCs w:val="18"/>
    </w:rPr>
  </w:style>
  <w:style w:type="paragraph" w:styleId="40">
    <w:name w:val="footer"/>
    <w:basedOn w:val="1"/>
    <w:link w:val="207"/>
    <w:qFormat/>
    <w:uiPriority w:val="0"/>
    <w:pPr>
      <w:tabs>
        <w:tab w:val="center" w:pos="4153"/>
        <w:tab w:val="right" w:pos="8306"/>
      </w:tabs>
      <w:snapToGrid w:val="0"/>
      <w:jc w:val="left"/>
    </w:pPr>
    <w:rPr>
      <w:sz w:val="18"/>
      <w:szCs w:val="18"/>
    </w:rPr>
  </w:style>
  <w:style w:type="paragraph" w:styleId="41">
    <w:name w:val="header"/>
    <w:basedOn w:val="1"/>
    <w:link w:val="143"/>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3">
    <w:name w:val="toc 1"/>
    <w:basedOn w:val="1"/>
    <w:next w:val="1"/>
    <w:qFormat/>
    <w:uiPriority w:val="39"/>
    <w:pPr>
      <w:spacing w:before="120" w:after="120"/>
      <w:jc w:val="left"/>
    </w:pPr>
    <w:rPr>
      <w:b/>
      <w:caps/>
      <w:sz w:val="20"/>
    </w:rPr>
  </w:style>
  <w:style w:type="paragraph" w:styleId="44">
    <w:name w:val="toc 4"/>
    <w:basedOn w:val="1"/>
    <w:next w:val="1"/>
    <w:qFormat/>
    <w:uiPriority w:val="0"/>
    <w:pPr>
      <w:ind w:left="630"/>
      <w:jc w:val="left"/>
    </w:pPr>
    <w:rPr>
      <w:sz w:val="18"/>
    </w:rPr>
  </w:style>
  <w:style w:type="paragraph" w:styleId="45">
    <w:name w:val="index heading"/>
    <w:basedOn w:val="1"/>
    <w:next w:val="46"/>
    <w:qFormat/>
    <w:uiPriority w:val="0"/>
  </w:style>
  <w:style w:type="paragraph" w:styleId="46">
    <w:name w:val="index 1"/>
    <w:basedOn w:val="1"/>
    <w:next w:val="1"/>
    <w:qFormat/>
    <w:uiPriority w:val="0"/>
    <w:rPr>
      <w:rFonts w:ascii="仿宋_GB2312" w:hAnsi="宋体" w:eastAsia="仿宋_GB2312"/>
      <w:sz w:val="30"/>
      <w:szCs w:val="24"/>
    </w:rPr>
  </w:style>
  <w:style w:type="paragraph" w:styleId="47">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8">
    <w:name w:val="footnote text"/>
    <w:basedOn w:val="1"/>
    <w:link w:val="142"/>
    <w:qFormat/>
    <w:uiPriority w:val="0"/>
    <w:pPr>
      <w:snapToGrid w:val="0"/>
      <w:jc w:val="left"/>
    </w:pPr>
    <w:rPr>
      <w:sz w:val="18"/>
      <w:szCs w:val="18"/>
    </w:rPr>
  </w:style>
  <w:style w:type="paragraph" w:styleId="49">
    <w:name w:val="toc 6"/>
    <w:basedOn w:val="1"/>
    <w:next w:val="1"/>
    <w:qFormat/>
    <w:uiPriority w:val="0"/>
    <w:pPr>
      <w:ind w:left="1050"/>
      <w:jc w:val="left"/>
    </w:pPr>
    <w:rPr>
      <w:sz w:val="18"/>
    </w:rPr>
  </w:style>
  <w:style w:type="paragraph" w:styleId="50">
    <w:name w:val="Body Text Indent 3"/>
    <w:basedOn w:val="1"/>
    <w:link w:val="122"/>
    <w:qFormat/>
    <w:uiPriority w:val="0"/>
    <w:pPr>
      <w:ind w:left="645" w:firstLine="645"/>
    </w:pPr>
    <w:rPr>
      <w:sz w:val="16"/>
      <w:szCs w:val="16"/>
    </w:rPr>
  </w:style>
  <w:style w:type="paragraph" w:styleId="51">
    <w:name w:val="index 7"/>
    <w:basedOn w:val="1"/>
    <w:next w:val="1"/>
    <w:qFormat/>
    <w:uiPriority w:val="0"/>
    <w:pPr>
      <w:ind w:left="2520"/>
    </w:pPr>
  </w:style>
  <w:style w:type="paragraph" w:styleId="52">
    <w:name w:val="index 9"/>
    <w:basedOn w:val="1"/>
    <w:next w:val="1"/>
    <w:qFormat/>
    <w:uiPriority w:val="0"/>
    <w:pPr>
      <w:ind w:left="3360"/>
    </w:pPr>
  </w:style>
  <w:style w:type="paragraph" w:styleId="53">
    <w:name w:val="table of figures"/>
    <w:basedOn w:val="1"/>
    <w:next w:val="1"/>
    <w:qFormat/>
    <w:uiPriority w:val="0"/>
    <w:pPr>
      <w:ind w:left="840" w:hanging="420"/>
    </w:pPr>
  </w:style>
  <w:style w:type="paragraph" w:styleId="54">
    <w:name w:val="toc 2"/>
    <w:basedOn w:val="1"/>
    <w:next w:val="1"/>
    <w:qFormat/>
    <w:uiPriority w:val="0"/>
    <w:pPr>
      <w:ind w:left="210"/>
      <w:jc w:val="left"/>
    </w:pPr>
    <w:rPr>
      <w:smallCaps/>
      <w:sz w:val="20"/>
    </w:rPr>
  </w:style>
  <w:style w:type="paragraph" w:styleId="55">
    <w:name w:val="toc 9"/>
    <w:basedOn w:val="1"/>
    <w:next w:val="1"/>
    <w:qFormat/>
    <w:uiPriority w:val="0"/>
    <w:pPr>
      <w:ind w:left="1680"/>
      <w:jc w:val="left"/>
    </w:pPr>
    <w:rPr>
      <w:sz w:val="18"/>
    </w:rPr>
  </w:style>
  <w:style w:type="paragraph" w:styleId="56">
    <w:name w:val="Body Text 2"/>
    <w:basedOn w:val="1"/>
    <w:link w:val="182"/>
    <w:qFormat/>
    <w:uiPriority w:val="0"/>
    <w:pPr>
      <w:widowControl/>
      <w:jc w:val="center"/>
    </w:pPr>
    <w:rPr>
      <w:rFonts w:ascii="楷体_GB2312" w:eastAsia="楷体_GB2312"/>
      <w:sz w:val="20"/>
    </w:rPr>
  </w:style>
  <w:style w:type="paragraph" w:styleId="57">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8">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9">
    <w:name w:val="index 2"/>
    <w:basedOn w:val="1"/>
    <w:next w:val="1"/>
    <w:qFormat/>
    <w:uiPriority w:val="0"/>
    <w:pPr>
      <w:ind w:left="420"/>
    </w:pPr>
  </w:style>
  <w:style w:type="paragraph" w:styleId="60">
    <w:name w:val="annotation subject"/>
    <w:basedOn w:val="20"/>
    <w:next w:val="20"/>
    <w:link w:val="153"/>
    <w:qFormat/>
    <w:uiPriority w:val="0"/>
    <w:rPr>
      <w:b/>
      <w:bCs/>
    </w:rPr>
  </w:style>
  <w:style w:type="paragraph" w:styleId="61">
    <w:name w:val="Body Text First Indent"/>
    <w:basedOn w:val="24"/>
    <w:link w:val="114"/>
    <w:qFormat/>
    <w:uiPriority w:val="0"/>
    <w:pPr>
      <w:spacing w:after="120"/>
      <w:ind w:firstLine="420" w:firstLineChars="100"/>
    </w:pPr>
    <w:rPr>
      <w:rFonts w:ascii="Times New Roman" w:hAnsi="Times New Roman" w:eastAsia="宋体"/>
      <w:sz w:val="24"/>
      <w:szCs w:val="24"/>
    </w:rPr>
  </w:style>
  <w:style w:type="paragraph" w:styleId="62">
    <w:name w:val="Body Text First Indent 2"/>
    <w:basedOn w:val="26"/>
    <w:next w:val="24"/>
    <w:qFormat/>
    <w:uiPriority w:val="0"/>
    <w:pPr>
      <w:ind w:firstLine="420" w:firstLineChars="200"/>
    </w:pPr>
  </w:style>
  <w:style w:type="table" w:styleId="64">
    <w:name w:val="Table Grid"/>
    <w:basedOn w:val="6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bCs/>
      <w:bdr w:val="single" w:color="EBEBEB" w:sz="6" w:space="0"/>
      <w:shd w:val="clear" w:fill="FFFFFF"/>
    </w:rPr>
  </w:style>
  <w:style w:type="character" w:styleId="67">
    <w:name w:val="endnote reference"/>
    <w:basedOn w:val="65"/>
    <w:qFormat/>
    <w:uiPriority w:val="0"/>
    <w:rPr>
      <w:vertAlign w:val="superscript"/>
    </w:rPr>
  </w:style>
  <w:style w:type="character" w:styleId="68">
    <w:name w:val="page number"/>
    <w:basedOn w:val="65"/>
    <w:qFormat/>
    <w:uiPriority w:val="0"/>
    <w:rPr>
      <w:rFonts w:cs="Times New Roman"/>
    </w:rPr>
  </w:style>
  <w:style w:type="character" w:styleId="69">
    <w:name w:val="FollowedHyperlink"/>
    <w:basedOn w:val="65"/>
    <w:qFormat/>
    <w:uiPriority w:val="0"/>
    <w:rPr>
      <w:color w:val="800080"/>
      <w:u w:val="single"/>
    </w:rPr>
  </w:style>
  <w:style w:type="character" w:styleId="70">
    <w:name w:val="Emphasis"/>
    <w:basedOn w:val="65"/>
    <w:qFormat/>
    <w:uiPriority w:val="0"/>
    <w:rPr>
      <w:b/>
      <w:i/>
      <w:spacing w:val="10"/>
      <w:shd w:val="clear" w:color="auto" w:fill="auto"/>
    </w:rPr>
  </w:style>
  <w:style w:type="character" w:styleId="71">
    <w:name w:val="line number"/>
    <w:basedOn w:val="65"/>
    <w:qFormat/>
    <w:uiPriority w:val="0"/>
    <w:rPr>
      <w:rFonts w:cs="Times New Roman"/>
    </w:rPr>
  </w:style>
  <w:style w:type="character" w:styleId="72">
    <w:name w:val="HTML Definition"/>
    <w:basedOn w:val="65"/>
    <w:semiHidden/>
    <w:unhideWhenUsed/>
    <w:qFormat/>
    <w:uiPriority w:val="99"/>
  </w:style>
  <w:style w:type="character" w:styleId="73">
    <w:name w:val="HTML Typewriter"/>
    <w:basedOn w:val="65"/>
    <w:qFormat/>
    <w:uiPriority w:val="0"/>
    <w:rPr>
      <w:rFonts w:ascii="宋体" w:hAnsi="宋体" w:eastAsia="宋体"/>
      <w:sz w:val="24"/>
    </w:rPr>
  </w:style>
  <w:style w:type="character" w:styleId="74">
    <w:name w:val="HTML Acronym"/>
    <w:basedOn w:val="65"/>
    <w:semiHidden/>
    <w:unhideWhenUsed/>
    <w:qFormat/>
    <w:uiPriority w:val="99"/>
  </w:style>
  <w:style w:type="character" w:styleId="75">
    <w:name w:val="HTML Variable"/>
    <w:basedOn w:val="65"/>
    <w:semiHidden/>
    <w:unhideWhenUsed/>
    <w:qFormat/>
    <w:uiPriority w:val="99"/>
  </w:style>
  <w:style w:type="character" w:styleId="76">
    <w:name w:val="Hyperlink"/>
    <w:basedOn w:val="65"/>
    <w:qFormat/>
    <w:uiPriority w:val="99"/>
    <w:rPr>
      <w:color w:val="0000FF"/>
      <w:u w:val="single"/>
    </w:rPr>
  </w:style>
  <w:style w:type="character" w:styleId="77">
    <w:name w:val="HTML Code"/>
    <w:basedOn w:val="65"/>
    <w:semiHidden/>
    <w:unhideWhenUsed/>
    <w:qFormat/>
    <w:uiPriority w:val="99"/>
    <w:rPr>
      <w:rFonts w:hint="default" w:ascii="monospace" w:hAnsi="monospace" w:eastAsia="monospace" w:cs="monospace"/>
      <w:sz w:val="20"/>
    </w:rPr>
  </w:style>
  <w:style w:type="character" w:styleId="78">
    <w:name w:val="annotation reference"/>
    <w:basedOn w:val="65"/>
    <w:qFormat/>
    <w:uiPriority w:val="99"/>
    <w:rPr>
      <w:sz w:val="21"/>
    </w:rPr>
  </w:style>
  <w:style w:type="character" w:styleId="79">
    <w:name w:val="HTML Cite"/>
    <w:basedOn w:val="65"/>
    <w:semiHidden/>
    <w:unhideWhenUsed/>
    <w:qFormat/>
    <w:uiPriority w:val="99"/>
  </w:style>
  <w:style w:type="character" w:styleId="80">
    <w:name w:val="footnote reference"/>
    <w:basedOn w:val="65"/>
    <w:qFormat/>
    <w:uiPriority w:val="0"/>
    <w:rPr>
      <w:vertAlign w:val="superscript"/>
    </w:rPr>
  </w:style>
  <w:style w:type="character" w:styleId="81">
    <w:name w:val="HTML Keyboard"/>
    <w:basedOn w:val="65"/>
    <w:semiHidden/>
    <w:unhideWhenUsed/>
    <w:qFormat/>
    <w:uiPriority w:val="99"/>
    <w:rPr>
      <w:rFonts w:ascii="monospace" w:hAnsi="monospace" w:eastAsia="monospace" w:cs="monospace"/>
      <w:sz w:val="20"/>
    </w:rPr>
  </w:style>
  <w:style w:type="character" w:styleId="82">
    <w:name w:val="HTML Sample"/>
    <w:basedOn w:val="65"/>
    <w:qFormat/>
    <w:uiPriority w:val="0"/>
    <w:rPr>
      <w:rFonts w:ascii="Courier New" w:hAnsi="宋体" w:eastAsia="宋体"/>
    </w:rPr>
  </w:style>
  <w:style w:type="paragraph" w:customStyle="1" w:styleId="83">
    <w:name w:val="模板普通正文"/>
    <w:basedOn w:val="26"/>
    <w:qFormat/>
    <w:uiPriority w:val="0"/>
    <w:pPr>
      <w:spacing w:beforeLines="50" w:after="10"/>
      <w:ind w:firstLine="490" w:firstLineChars="175"/>
      <w:jc w:val="left"/>
    </w:pPr>
  </w:style>
  <w:style w:type="character" w:customStyle="1" w:styleId="84">
    <w:name w:val="页脚 Char1"/>
    <w:basedOn w:val="65"/>
    <w:qFormat/>
    <w:uiPriority w:val="0"/>
    <w:rPr>
      <w:rFonts w:cs="Times New Roman"/>
      <w:kern w:val="2"/>
      <w:sz w:val="18"/>
      <w:szCs w:val="18"/>
    </w:rPr>
  </w:style>
  <w:style w:type="character" w:customStyle="1" w:styleId="85">
    <w:name w:val="正文文本 字符"/>
    <w:basedOn w:val="65"/>
    <w:link w:val="24"/>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5"/>
    <w:link w:val="8"/>
    <w:qFormat/>
    <w:uiPriority w:val="0"/>
    <w:rPr>
      <w:rFonts w:ascii="黑体" w:hAnsi="Times New Roman" w:eastAsia="黑体" w:cs="Times New Roman"/>
      <w:b/>
      <w:color w:val="000000"/>
      <w:kern w:val="0"/>
      <w:sz w:val="20"/>
      <w:szCs w:val="20"/>
    </w:rPr>
  </w:style>
  <w:style w:type="character" w:customStyle="1" w:styleId="88">
    <w:name w:val="Body Text Indent 3 Char1"/>
    <w:basedOn w:val="65"/>
    <w:qFormat/>
    <w:uiPriority w:val="0"/>
    <w:rPr>
      <w:rFonts w:ascii="Times New Roman" w:hAnsi="Times New Roman"/>
      <w:kern w:val="2"/>
      <w:sz w:val="16"/>
      <w:szCs w:val="16"/>
    </w:rPr>
  </w:style>
  <w:style w:type="character" w:customStyle="1" w:styleId="89">
    <w:name w:val="副标题 字符"/>
    <w:basedOn w:val="65"/>
    <w:link w:val="47"/>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5"/>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5"/>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5"/>
    <w:qFormat/>
    <w:uiPriority w:val="0"/>
    <w:rPr>
      <w:rFonts w:ascii="Times New Roman" w:hAnsi="Times New Roman" w:eastAsia="宋体" w:cs="Times New Roman"/>
      <w:b/>
      <w:bCs/>
      <w:sz w:val="32"/>
      <w:szCs w:val="32"/>
    </w:rPr>
  </w:style>
  <w:style w:type="character" w:customStyle="1" w:styleId="97">
    <w:name w:val="标题 4 字符"/>
    <w:basedOn w:val="65"/>
    <w:link w:val="7"/>
    <w:qFormat/>
    <w:uiPriority w:val="0"/>
    <w:rPr>
      <w:rFonts w:ascii="Arial" w:hAnsi="Arial" w:eastAsia="黑体" w:cs="Times New Roman"/>
      <w:b/>
      <w:sz w:val="20"/>
      <w:szCs w:val="20"/>
    </w:rPr>
  </w:style>
  <w:style w:type="character" w:customStyle="1" w:styleId="98">
    <w:name w:val="正文文本 3 字符"/>
    <w:basedOn w:val="65"/>
    <w:link w:val="23"/>
    <w:qFormat/>
    <w:uiPriority w:val="0"/>
    <w:rPr>
      <w:rFonts w:ascii="仿宋_GB2312" w:hAnsi="Arial" w:eastAsia="仿宋_GB2312" w:cs="Times New Roman"/>
      <w:sz w:val="20"/>
      <w:szCs w:val="20"/>
    </w:rPr>
  </w:style>
  <w:style w:type="character" w:customStyle="1" w:styleId="99">
    <w:name w:val="正文文本缩进 Char"/>
    <w:basedOn w:val="65"/>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5"/>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首行缩进 字符"/>
    <w:basedOn w:val="85"/>
    <w:link w:val="61"/>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5"/>
    <w:qFormat/>
    <w:uiPriority w:val="0"/>
    <w:rPr>
      <w:rFonts w:cs="Times New Roman"/>
    </w:rPr>
  </w:style>
  <w:style w:type="character" w:customStyle="1" w:styleId="117">
    <w:name w:val="Intense Quote Char2"/>
    <w:basedOn w:val="65"/>
    <w:qFormat/>
    <w:uiPriority w:val="0"/>
    <w:rPr>
      <w:rFonts w:ascii="Times New Roman" w:hAnsi="Times New Roman" w:eastAsia="宋体" w:cs="Times New Roman"/>
      <w:b/>
      <w:bCs/>
      <w:i/>
      <w:iCs/>
      <w:color w:val="4F81BD"/>
      <w:sz w:val="20"/>
      <w:szCs w:val="20"/>
    </w:rPr>
  </w:style>
  <w:style w:type="character" w:customStyle="1" w:styleId="118">
    <w:name w:val="纯文本 Char"/>
    <w:basedOn w:val="65"/>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5"/>
    <w:link w:val="50"/>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5"/>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5"/>
    <w:link w:val="33"/>
    <w:qFormat/>
    <w:uiPriority w:val="99"/>
    <w:rPr>
      <w:rFonts w:ascii="宋体" w:hAnsi="Courier New" w:cs="Courier New"/>
      <w:kern w:val="2"/>
      <w:sz w:val="21"/>
      <w:szCs w:val="21"/>
    </w:rPr>
  </w:style>
  <w:style w:type="character" w:customStyle="1" w:styleId="131">
    <w:name w:val="标题 6 字符"/>
    <w:basedOn w:val="65"/>
    <w:link w:val="9"/>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5"/>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5"/>
    <w:link w:val="20"/>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5"/>
    <w:link w:val="42"/>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5"/>
    <w:link w:val="48"/>
    <w:qFormat/>
    <w:uiPriority w:val="0"/>
    <w:rPr>
      <w:rFonts w:ascii="Times New Roman" w:hAnsi="Times New Roman" w:eastAsia="宋体" w:cs="Times New Roman"/>
      <w:sz w:val="18"/>
      <w:szCs w:val="18"/>
    </w:rPr>
  </w:style>
  <w:style w:type="character" w:customStyle="1" w:styleId="143">
    <w:name w:val="页眉 字符"/>
    <w:basedOn w:val="65"/>
    <w:link w:val="41"/>
    <w:qFormat/>
    <w:uiPriority w:val="0"/>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5"/>
    <w:qFormat/>
    <w:uiPriority w:val="0"/>
    <w:rPr>
      <w:rFonts w:cs="Times New Roman"/>
    </w:rPr>
  </w:style>
  <w:style w:type="character" w:customStyle="1" w:styleId="146">
    <w:name w:val="标题 7 字符"/>
    <w:basedOn w:val="65"/>
    <w:link w:val="10"/>
    <w:qFormat/>
    <w:uiPriority w:val="0"/>
    <w:rPr>
      <w:rFonts w:ascii="Times New Roman" w:hAnsi="Times New Roman" w:eastAsia="宋体" w:cs="Times New Roman"/>
      <w:b/>
      <w:bCs/>
      <w:sz w:val="24"/>
      <w:szCs w:val="24"/>
    </w:rPr>
  </w:style>
  <w:style w:type="character" w:customStyle="1" w:styleId="147">
    <w:name w:val="Title Char1"/>
    <w:basedOn w:val="65"/>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5"/>
    <w:link w:val="36"/>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60"/>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7"/>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5"/>
    <w:link w:val="11"/>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5"/>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5"/>
    <w:qFormat/>
    <w:uiPriority w:val="0"/>
    <w:rPr>
      <w:rFonts w:ascii="Times New Roman" w:hAnsi="Times New Roman"/>
      <w:kern w:val="2"/>
      <w:sz w:val="21"/>
    </w:rPr>
  </w:style>
  <w:style w:type="character" w:customStyle="1" w:styleId="166">
    <w:name w:val="标题 9 字符"/>
    <w:basedOn w:val="65"/>
    <w:link w:val="12"/>
    <w:qFormat/>
    <w:uiPriority w:val="0"/>
    <w:rPr>
      <w:rFonts w:ascii="Arial" w:hAnsi="Arial" w:eastAsia="黑体" w:cs="Times New Roman"/>
      <w:sz w:val="21"/>
      <w:szCs w:val="21"/>
    </w:rPr>
  </w:style>
  <w:style w:type="character" w:customStyle="1" w:styleId="167">
    <w:name w:val="明显强调1"/>
    <w:basedOn w:val="65"/>
    <w:qFormat/>
    <w:uiPriority w:val="0"/>
    <w:rPr>
      <w:b/>
    </w:rPr>
  </w:style>
  <w:style w:type="character" w:customStyle="1" w:styleId="168">
    <w:name w:val="标题 2 字符"/>
    <w:basedOn w:val="65"/>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5"/>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5"/>
    <w:link w:val="37"/>
    <w:qFormat/>
    <w:uiPriority w:val="0"/>
    <w:rPr>
      <w:rFonts w:ascii="Times New Roman" w:hAnsi="Times New Roman" w:eastAsia="宋体" w:cs="Times New Roman"/>
      <w:sz w:val="20"/>
      <w:szCs w:val="20"/>
    </w:rPr>
  </w:style>
  <w:style w:type="character" w:customStyle="1" w:styleId="173">
    <w:name w:val="Quote Char1"/>
    <w:basedOn w:val="65"/>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5"/>
    <w:qFormat/>
    <w:uiPriority w:val="0"/>
    <w:rPr>
      <w:rFonts w:ascii="宋体" w:hAnsi="Times New Roman" w:eastAsia="宋体" w:cs="Times New Roman"/>
      <w:sz w:val="18"/>
      <w:szCs w:val="18"/>
    </w:rPr>
  </w:style>
  <w:style w:type="character" w:customStyle="1" w:styleId="176">
    <w:name w:val="HTML 预设格式 字符"/>
    <w:basedOn w:val="65"/>
    <w:link w:val="57"/>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5"/>
    <w:link w:val="26"/>
    <w:qFormat/>
    <w:uiPriority w:val="0"/>
    <w:rPr>
      <w:rFonts w:ascii="Times New Roman" w:hAnsi="Times New Roman"/>
      <w:kern w:val="2"/>
      <w:sz w:val="21"/>
    </w:rPr>
  </w:style>
  <w:style w:type="character" w:customStyle="1" w:styleId="179">
    <w:name w:val="标题 字符"/>
    <w:basedOn w:val="65"/>
    <w:link w:val="28"/>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5"/>
    <w:link w:val="56"/>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5"/>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5"/>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5"/>
    <w:link w:val="3"/>
    <w:qFormat/>
    <w:uiPriority w:val="0"/>
    <w:rPr>
      <w:rFonts w:ascii="黑体" w:hAnsi="Times New Roman" w:eastAsia="黑体" w:cs="Times New Roman"/>
      <w:b/>
      <w:kern w:val="44"/>
      <w:sz w:val="28"/>
      <w:szCs w:val="28"/>
    </w:rPr>
  </w:style>
  <w:style w:type="character" w:customStyle="1" w:styleId="200">
    <w:name w:val="明显参考1"/>
    <w:basedOn w:val="65"/>
    <w:qFormat/>
    <w:uiPriority w:val="0"/>
    <w:rPr>
      <w:smallCaps/>
      <w:spacing w:val="5"/>
      <w:u w:val="single"/>
    </w:rPr>
  </w:style>
  <w:style w:type="character" w:customStyle="1" w:styleId="201">
    <w:name w:val="称呼 字符"/>
    <w:basedOn w:val="65"/>
    <w:link w:val="22"/>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5"/>
    <w:link w:val="19"/>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5"/>
    <w:link w:val="40"/>
    <w:qFormat/>
    <w:uiPriority w:val="0"/>
    <w:rPr>
      <w:rFonts w:cs="Times New Roman"/>
      <w:sz w:val="18"/>
      <w:szCs w:val="18"/>
    </w:rPr>
  </w:style>
  <w:style w:type="character" w:customStyle="1" w:styleId="208">
    <w:name w:val="书籍标题1"/>
    <w:basedOn w:val="65"/>
    <w:qFormat/>
    <w:uiPriority w:val="0"/>
    <w:rPr>
      <w:i/>
      <w:smallCaps/>
      <w:spacing w:val="5"/>
    </w:rPr>
  </w:style>
  <w:style w:type="character" w:customStyle="1" w:styleId="209">
    <w:name w:val="不明显参考1"/>
    <w:basedOn w:val="65"/>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5"/>
    <w:link w:val="5"/>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5"/>
    <w:link w:val="39"/>
    <w:qFormat/>
    <w:uiPriority w:val="0"/>
    <w:rPr>
      <w:rFonts w:ascii="Times New Roman" w:hAnsi="Times New Roman" w:eastAsia="宋体" w:cs="Times New Roman"/>
      <w:sz w:val="18"/>
      <w:szCs w:val="18"/>
    </w:rPr>
  </w:style>
  <w:style w:type="character" w:customStyle="1" w:styleId="215">
    <w:name w:val="尾注文本 字符"/>
    <w:basedOn w:val="65"/>
    <w:link w:val="38"/>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50"/>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8"/>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6"/>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6"/>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7"/>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5"/>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42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26">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7">
    <w:name w:val=" Char"/>
    <w:basedOn w:val="1"/>
    <w:next w:val="1"/>
    <w:qFormat/>
    <w:uiPriority w:val="0"/>
    <w:pPr>
      <w:widowControl/>
      <w:spacing w:line="360" w:lineRule="auto"/>
      <w:jc w:val="left"/>
    </w:pPr>
    <w:rPr>
      <w:kern w:val="0"/>
      <w:szCs w:val="20"/>
      <w:lang w:eastAsia="en-US"/>
    </w:rPr>
  </w:style>
  <w:style w:type="character" w:customStyle="1" w:styleId="428">
    <w:name w:val="hover"/>
    <w:basedOn w:val="65"/>
    <w:qFormat/>
    <w:uiPriority w:val="0"/>
  </w:style>
  <w:style w:type="character" w:customStyle="1" w:styleId="429">
    <w:name w:val="hover1"/>
    <w:basedOn w:val="65"/>
    <w:qFormat/>
    <w:uiPriority w:val="0"/>
    <w:rPr>
      <w:color w:val="2590EB"/>
      <w:shd w:val="clear" w:fill="E9F4FD"/>
    </w:rPr>
  </w:style>
  <w:style w:type="character" w:customStyle="1" w:styleId="430">
    <w:name w:val="hover2"/>
    <w:basedOn w:val="65"/>
    <w:qFormat/>
    <w:uiPriority w:val="0"/>
    <w:rPr>
      <w:color w:val="2590EB"/>
    </w:rPr>
  </w:style>
  <w:style w:type="character" w:customStyle="1" w:styleId="431">
    <w:name w:val="hover3"/>
    <w:basedOn w:val="65"/>
    <w:qFormat/>
    <w:uiPriority w:val="0"/>
    <w:rPr>
      <w:color w:val="2590EB"/>
    </w:rPr>
  </w:style>
  <w:style w:type="paragraph" w:customStyle="1" w:styleId="432">
    <w:name w:val=" Char Char1"/>
    <w:basedOn w:val="1"/>
    <w:qFormat/>
    <w:uiPriority w:val="0"/>
  </w:style>
  <w:style w:type="paragraph" w:customStyle="1" w:styleId="433">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110</Pages>
  <Words>45405</Words>
  <Characters>48229</Characters>
  <Lines>195</Lines>
  <Paragraphs>54</Paragraphs>
  <TotalTime>19</TotalTime>
  <ScaleCrop>false</ScaleCrop>
  <LinksUpToDate>false</LinksUpToDate>
  <CharactersWithSpaces>54614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2018-11-14T11:11:00Z</dcterms:created>
  <dc:creator>Windows 用户</dc:creator>
  <cp:lastModifiedBy>NTKO</cp:lastModifiedBy>
  <cp:lastPrinted>2023-04-19T08:15:00Z</cp:lastPrinted>
  <dcterms:modified xsi:type="dcterms:W3CDTF">2023-04-28T04:06:54Z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2E21AC3128FC4D1B9809C07F8FECD30D</vt:lpwstr>
  </property>
</Properties>
</file>