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05463">
      <w:pPr>
        <w:keepNext/>
        <w:keepLines/>
        <w:numPr>
          <w:numId w:val="0"/>
        </w:numPr>
        <w:jc w:val="center"/>
        <w:rPr>
          <w:rFonts w:ascii="宋体" w:hAnsi="宋体" w:cs="宋体"/>
          <w:b/>
          <w:sz w:val="32"/>
          <w:szCs w:val="32"/>
        </w:rPr>
      </w:pPr>
      <w:bookmarkStart w:id="0" w:name="_Hlk159570609"/>
      <w:bookmarkStart w:id="1" w:name="_Hlk181779216"/>
      <w:r>
        <w:rPr>
          <w:rFonts w:hint="eastAsia" w:ascii="宋体" w:hAnsi="宋体" w:cs="宋体"/>
          <w:b/>
          <w:sz w:val="32"/>
          <w:szCs w:val="32"/>
        </w:rPr>
        <w:t>采购需求</w:t>
      </w:r>
      <w:bookmarkEnd w:id="0"/>
    </w:p>
    <w:p w14:paraId="3D5966A5">
      <w:pPr>
        <w:spacing w:line="360" w:lineRule="auto"/>
        <w:ind w:firstLine="420" w:firstLineChars="200"/>
      </w:pPr>
      <w:r>
        <w:rPr>
          <w:rFonts w:hint="eastAsia"/>
        </w:rPr>
        <w:t xml:space="preserve"> 随着我校办学规模不断的扩大，来访人员日益增多而且人员比较复杂涉及各行各业，学校对这方面管理难度越来越大同时也增加许多安全隐患。为了解决这些问题学校可以借鉴其它高校的成功经验建设访客系统。访客系统采用身份识别和人脸识别技术，确保只有授权访客才能进入校园，而且优化访客管理，提供便捷的手机在线预约功能，减少访客等待时间。访客系统能自动核验身份信息与建立电子档案（便于后续查询），提高管理效率及校园安全防范能力。 </w:t>
      </w:r>
    </w:p>
    <w:bookmarkEnd w:id="1"/>
    <w:p w14:paraId="75474311">
      <w:pPr>
        <w:widowControl/>
        <w:numPr>
          <w:ilvl w:val="0"/>
          <w:numId w:val="1"/>
        </w:numPr>
        <w:shd w:val="clear" w:color="auto" w:fill="FFFFFF"/>
        <w:spacing w:line="360" w:lineRule="auto"/>
        <w:rPr>
          <w:rFonts w:ascii="宋体" w:hAnsi="宋体" w:cs="宋体"/>
          <w:b/>
          <w:bCs/>
          <w:sz w:val="24"/>
        </w:rPr>
      </w:pPr>
      <w:r>
        <w:rPr>
          <w:rFonts w:hint="eastAsia" w:ascii="宋体" w:hAnsi="宋体" w:cs="宋体"/>
          <w:b/>
          <w:bCs/>
          <w:sz w:val="24"/>
        </w:rPr>
        <w:t>货物需求一览表</w:t>
      </w:r>
    </w:p>
    <w:tbl>
      <w:tblPr>
        <w:tblStyle w:val="7"/>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100"/>
        <w:gridCol w:w="5035"/>
        <w:gridCol w:w="583"/>
        <w:gridCol w:w="600"/>
        <w:gridCol w:w="767"/>
        <w:gridCol w:w="755"/>
      </w:tblGrid>
      <w:tr w14:paraId="063F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08" w:type="dxa"/>
            <w:vAlign w:val="center"/>
          </w:tcPr>
          <w:p w14:paraId="33A50BC4">
            <w:pPr>
              <w:widowControl/>
              <w:spacing w:line="300" w:lineRule="exact"/>
              <w:jc w:val="center"/>
              <w:rPr>
                <w:rFonts w:ascii="宋体" w:hAnsi="宋体" w:cs="宋体"/>
                <w:kern w:val="0"/>
                <w:szCs w:val="21"/>
              </w:rPr>
            </w:pPr>
            <w:r>
              <w:rPr>
                <w:rFonts w:hint="eastAsia"/>
                <w:szCs w:val="21"/>
              </w:rPr>
              <w:t>序号</w:t>
            </w:r>
          </w:p>
        </w:tc>
        <w:tc>
          <w:tcPr>
            <w:tcW w:w="1100" w:type="dxa"/>
            <w:vAlign w:val="center"/>
          </w:tcPr>
          <w:p w14:paraId="5F7AED76">
            <w:pPr>
              <w:widowControl/>
              <w:spacing w:line="300" w:lineRule="exact"/>
              <w:jc w:val="center"/>
              <w:rPr>
                <w:rFonts w:ascii="宋体" w:hAnsi="宋体" w:cs="宋体"/>
                <w:kern w:val="0"/>
                <w:szCs w:val="21"/>
              </w:rPr>
            </w:pPr>
            <w:r>
              <w:rPr>
                <w:rFonts w:hint="eastAsia" w:ascii="宋体" w:hAnsi="宋体" w:cs="宋体"/>
                <w:kern w:val="0"/>
                <w:szCs w:val="21"/>
              </w:rPr>
              <w:t>产品名称</w:t>
            </w:r>
          </w:p>
        </w:tc>
        <w:tc>
          <w:tcPr>
            <w:tcW w:w="5035" w:type="dxa"/>
            <w:vAlign w:val="center"/>
          </w:tcPr>
          <w:p w14:paraId="22D10C7A">
            <w:pPr>
              <w:widowControl/>
              <w:spacing w:line="300" w:lineRule="exact"/>
              <w:jc w:val="center"/>
              <w:rPr>
                <w:rFonts w:ascii="宋体" w:hAnsi="宋体" w:cs="宋体"/>
                <w:kern w:val="0"/>
                <w:szCs w:val="21"/>
              </w:rPr>
            </w:pPr>
            <w:r>
              <w:rPr>
                <w:rFonts w:hint="eastAsia" w:ascii="宋体" w:hAnsi="宋体" w:cs="宋体"/>
                <w:kern w:val="0"/>
                <w:szCs w:val="21"/>
              </w:rPr>
              <w:t>技术参数</w:t>
            </w:r>
          </w:p>
        </w:tc>
        <w:tc>
          <w:tcPr>
            <w:tcW w:w="583" w:type="dxa"/>
            <w:vAlign w:val="center"/>
          </w:tcPr>
          <w:p w14:paraId="77152E43">
            <w:pPr>
              <w:widowControl/>
              <w:spacing w:line="300" w:lineRule="exact"/>
              <w:jc w:val="center"/>
              <w:rPr>
                <w:rFonts w:ascii="宋体" w:hAnsi="宋体" w:cs="宋体"/>
                <w:kern w:val="0"/>
                <w:szCs w:val="21"/>
              </w:rPr>
            </w:pPr>
            <w:r>
              <w:rPr>
                <w:rFonts w:hint="eastAsia" w:ascii="宋体" w:hAnsi="宋体" w:cs="宋体"/>
                <w:kern w:val="0"/>
                <w:szCs w:val="21"/>
              </w:rPr>
              <w:t>数量</w:t>
            </w:r>
          </w:p>
        </w:tc>
        <w:tc>
          <w:tcPr>
            <w:tcW w:w="600" w:type="dxa"/>
            <w:vAlign w:val="center"/>
          </w:tcPr>
          <w:p w14:paraId="79EC1597">
            <w:pPr>
              <w:widowControl/>
              <w:spacing w:line="300" w:lineRule="exact"/>
              <w:jc w:val="center"/>
              <w:rPr>
                <w:rFonts w:ascii="宋体" w:hAnsi="宋体" w:cs="宋体"/>
                <w:kern w:val="0"/>
                <w:szCs w:val="21"/>
              </w:rPr>
            </w:pPr>
            <w:r>
              <w:rPr>
                <w:rFonts w:hint="eastAsia" w:ascii="宋体" w:hAnsi="宋体" w:cs="宋体"/>
                <w:kern w:val="0"/>
                <w:szCs w:val="21"/>
              </w:rPr>
              <w:t>单位</w:t>
            </w:r>
          </w:p>
        </w:tc>
        <w:tc>
          <w:tcPr>
            <w:tcW w:w="767" w:type="dxa"/>
            <w:vAlign w:val="center"/>
          </w:tcPr>
          <w:p w14:paraId="0C3CA5A6">
            <w:pPr>
              <w:widowControl/>
              <w:spacing w:line="300" w:lineRule="exact"/>
              <w:jc w:val="center"/>
              <w:rPr>
                <w:rFonts w:ascii="宋体" w:hAnsi="宋体" w:cs="宋体"/>
                <w:kern w:val="0"/>
                <w:szCs w:val="21"/>
              </w:rPr>
            </w:pPr>
            <w:r>
              <w:rPr>
                <w:rFonts w:hint="eastAsia" w:ascii="宋体" w:hAnsi="宋体" w:cs="宋体"/>
                <w:kern w:val="0"/>
                <w:szCs w:val="21"/>
              </w:rPr>
              <w:t>单价（元）</w:t>
            </w:r>
          </w:p>
        </w:tc>
        <w:tc>
          <w:tcPr>
            <w:tcW w:w="755" w:type="dxa"/>
            <w:vAlign w:val="center"/>
          </w:tcPr>
          <w:p w14:paraId="1B7FA339">
            <w:pPr>
              <w:widowControl/>
              <w:spacing w:line="300" w:lineRule="exact"/>
              <w:jc w:val="center"/>
              <w:rPr>
                <w:rFonts w:ascii="宋体" w:hAnsi="宋体" w:cs="宋体"/>
                <w:kern w:val="0"/>
                <w:szCs w:val="21"/>
              </w:rPr>
            </w:pPr>
            <w:r>
              <w:rPr>
                <w:rFonts w:hint="eastAsia" w:ascii="宋体" w:hAnsi="宋体" w:cs="宋体"/>
                <w:kern w:val="0"/>
                <w:szCs w:val="21"/>
              </w:rPr>
              <w:t>合价（元）</w:t>
            </w:r>
          </w:p>
        </w:tc>
      </w:tr>
      <w:tr w14:paraId="4E64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230FCBFE">
            <w:pPr>
              <w:widowControl/>
              <w:spacing w:line="300" w:lineRule="exact"/>
              <w:jc w:val="center"/>
              <w:rPr>
                <w:rFonts w:ascii="宋体" w:hAnsi="宋体" w:cs="宋体"/>
                <w:kern w:val="0"/>
                <w:szCs w:val="21"/>
              </w:rPr>
            </w:pPr>
            <w:r>
              <w:rPr>
                <w:rFonts w:hint="eastAsia" w:ascii="宋体" w:hAnsi="宋体" w:cs="宋体"/>
                <w:kern w:val="0"/>
                <w:szCs w:val="21"/>
              </w:rPr>
              <w:t>1</w:t>
            </w:r>
          </w:p>
        </w:tc>
        <w:tc>
          <w:tcPr>
            <w:tcW w:w="1100" w:type="dxa"/>
            <w:vAlign w:val="center"/>
          </w:tcPr>
          <w:p w14:paraId="33CE7C92">
            <w:pPr>
              <w:widowControl/>
              <w:spacing w:line="300" w:lineRule="exact"/>
              <w:jc w:val="center"/>
              <w:rPr>
                <w:rFonts w:ascii="宋体" w:hAnsi="宋体" w:cs="宋体"/>
                <w:kern w:val="0"/>
                <w:szCs w:val="21"/>
              </w:rPr>
            </w:pPr>
            <w:r>
              <w:rPr>
                <w:rFonts w:hint="eastAsia" w:ascii="宋体" w:hAnsi="宋体" w:cs="宋体"/>
                <w:kern w:val="0"/>
                <w:szCs w:val="21"/>
              </w:rPr>
              <w:t>访客平台软件</w:t>
            </w:r>
          </w:p>
        </w:tc>
        <w:tc>
          <w:tcPr>
            <w:tcW w:w="5035" w:type="dxa"/>
            <w:vAlign w:val="center"/>
          </w:tcPr>
          <w:p w14:paraId="330EA007">
            <w:pPr>
              <w:widowControl/>
              <w:spacing w:line="300" w:lineRule="exact"/>
              <w:jc w:val="left"/>
              <w:rPr>
                <w:rFonts w:ascii="宋体" w:hAnsi="宋体" w:cs="宋体"/>
                <w:kern w:val="0"/>
                <w:szCs w:val="21"/>
              </w:rPr>
            </w:pPr>
            <w:r>
              <w:rPr>
                <w:rFonts w:hint="eastAsia" w:ascii="宋体" w:hAnsi="宋体" w:cs="宋体"/>
                <w:kern w:val="0"/>
                <w:szCs w:val="21"/>
              </w:rPr>
              <w:t>1. 通行事件最大存量300w，最多保留5年；</w:t>
            </w:r>
          </w:p>
          <w:p w14:paraId="0F056A5A">
            <w:pPr>
              <w:widowControl/>
              <w:spacing w:line="300" w:lineRule="exact"/>
              <w:jc w:val="left"/>
              <w:rPr>
                <w:rFonts w:ascii="宋体" w:hAnsi="宋体" w:cs="宋体"/>
                <w:kern w:val="0"/>
                <w:szCs w:val="21"/>
              </w:rPr>
            </w:pPr>
            <w:r>
              <w:rPr>
                <w:rFonts w:hint="eastAsia" w:ascii="宋体" w:hAnsi="宋体" w:cs="宋体"/>
                <w:kern w:val="0"/>
                <w:szCs w:val="21"/>
              </w:rPr>
              <w:t>2. 访客单200w情况下（每个单子访客5个，审批节点5个）访客预约峰值50条/min ；</w:t>
            </w:r>
          </w:p>
          <w:p w14:paraId="400223E7">
            <w:pPr>
              <w:widowControl/>
              <w:spacing w:line="300" w:lineRule="exact"/>
              <w:jc w:val="left"/>
              <w:rPr>
                <w:rFonts w:ascii="宋体" w:hAnsi="宋体" w:cs="宋体"/>
                <w:kern w:val="0"/>
                <w:szCs w:val="21"/>
              </w:rPr>
            </w:pPr>
            <w:r>
              <w:rPr>
                <w:rFonts w:hint="eastAsia" w:ascii="宋体" w:hAnsi="宋体" w:cs="宋体"/>
                <w:kern w:val="0"/>
                <w:szCs w:val="21"/>
              </w:rPr>
              <w:t>3. 支持管理最大访客终端管理数量200个；</w:t>
            </w:r>
          </w:p>
          <w:p w14:paraId="2225B660">
            <w:pPr>
              <w:widowControl/>
              <w:spacing w:line="300" w:lineRule="exact"/>
              <w:jc w:val="left"/>
              <w:rPr>
                <w:rFonts w:ascii="宋体" w:hAnsi="宋体" w:cs="宋体"/>
                <w:kern w:val="0"/>
                <w:szCs w:val="21"/>
              </w:rPr>
            </w:pPr>
            <w:r>
              <w:rPr>
                <w:rFonts w:hint="eastAsia" w:ascii="宋体" w:hAnsi="宋体" w:cs="宋体"/>
                <w:kern w:val="0"/>
                <w:szCs w:val="21"/>
              </w:rPr>
              <w:t>4. 访客审批流程支持多级审批，每一级可添加对应审批人，审批通过后流转下一节点，节点驳回则流程结束；当所有节 点均通过时整个流程通过。最多支持5级审批；</w:t>
            </w:r>
          </w:p>
          <w:p w14:paraId="380DADBE">
            <w:pPr>
              <w:widowControl/>
              <w:spacing w:line="300" w:lineRule="exact"/>
              <w:jc w:val="left"/>
              <w:rPr>
                <w:rFonts w:ascii="宋体" w:hAnsi="宋体" w:cs="宋体"/>
                <w:color w:val="FF0000"/>
                <w:kern w:val="0"/>
                <w:szCs w:val="21"/>
              </w:rPr>
            </w:pPr>
            <w:r>
              <w:rPr>
                <w:rFonts w:hint="eastAsia" w:ascii="宋体" w:hAnsi="宋体" w:cs="宋体"/>
                <w:kern w:val="0"/>
                <w:szCs w:val="21"/>
              </w:rPr>
              <w:t>5. 支持自动创建用户功能，开启该功能后，批量导入人员可自动创建用户，默认用户名为学工号/家长编号/访客编号；</w:t>
            </w:r>
          </w:p>
          <w:p w14:paraId="00439529">
            <w:pPr>
              <w:widowControl/>
              <w:spacing w:line="300" w:lineRule="exact"/>
              <w:jc w:val="left"/>
              <w:rPr>
                <w:rFonts w:ascii="宋体" w:hAnsi="宋体" w:cs="宋体"/>
                <w:kern w:val="0"/>
                <w:szCs w:val="21"/>
              </w:rPr>
            </w:pPr>
            <w:r>
              <w:rPr>
                <w:rFonts w:hint="eastAsia" w:ascii="宋体" w:hAnsi="宋体" w:cs="宋体"/>
                <w:kern w:val="0"/>
                <w:szCs w:val="21"/>
              </w:rPr>
              <w:t>6. 统一权限下发：打通人事和基础组件，能够手动进行权限的下发，也可以通过人事和场地管理自动梳理出建筑和硬件以及人员的关联关系，可视化完成权限下发；</w:t>
            </w:r>
          </w:p>
          <w:p w14:paraId="5E1A9CC7">
            <w:pPr>
              <w:widowControl/>
              <w:spacing w:line="300" w:lineRule="exact"/>
              <w:jc w:val="left"/>
              <w:rPr>
                <w:rFonts w:ascii="宋体" w:hAnsi="宋体" w:cs="宋体"/>
                <w:kern w:val="0"/>
                <w:szCs w:val="21"/>
              </w:rPr>
            </w:pPr>
            <w:r>
              <w:rPr>
                <w:rFonts w:hint="eastAsia" w:ascii="宋体" w:hAnsi="宋体" w:cs="宋体"/>
                <w:kern w:val="0"/>
                <w:szCs w:val="21"/>
              </w:rPr>
              <w:t>7. 自定义下发场景：可视化配置计划模版，根据不同场景完成多样的权限手动下发；</w:t>
            </w:r>
          </w:p>
          <w:p w14:paraId="34621117">
            <w:pPr>
              <w:widowControl/>
              <w:spacing w:line="300" w:lineRule="exact"/>
              <w:jc w:val="left"/>
              <w:rPr>
                <w:rFonts w:ascii="宋体" w:hAnsi="宋体" w:cs="宋体"/>
                <w:b/>
                <w:bCs/>
                <w:kern w:val="0"/>
                <w:szCs w:val="21"/>
              </w:rPr>
            </w:pPr>
            <w:r>
              <w:rPr>
                <w:rFonts w:hint="eastAsia" w:ascii="宋体" w:hAnsi="宋体" w:cs="宋体"/>
                <w:kern w:val="0"/>
                <w:szCs w:val="21"/>
              </w:rPr>
              <w:t>8. ★支持展示来访人数总览，包括来访访客人数、预约访客人数。支持通过折线图展示访客访问人数趋势。</w:t>
            </w:r>
            <w:r>
              <w:rPr>
                <w:rFonts w:hint="eastAsia" w:ascii="宋体" w:hAnsi="宋体" w:cs="宋体"/>
                <w:b/>
                <w:bCs/>
                <w:kern w:val="0"/>
                <w:szCs w:val="21"/>
              </w:rPr>
              <w:t>（响应文件中需提供功能截图或照片</w:t>
            </w:r>
            <w:r>
              <w:rPr>
                <w:rFonts w:hint="eastAsia" w:ascii="宋体" w:hAnsi="宋体" w:cs="宋体"/>
                <w:b/>
                <w:bCs/>
              </w:rPr>
              <w:t>证明材料</w:t>
            </w:r>
            <w:r>
              <w:rPr>
                <w:rFonts w:hint="eastAsia" w:ascii="宋体" w:hAnsi="宋体" w:cs="宋体"/>
                <w:b/>
                <w:bCs/>
                <w:kern w:val="0"/>
                <w:szCs w:val="21"/>
              </w:rPr>
              <w:t>并加盖供应商公章）；</w:t>
            </w:r>
          </w:p>
          <w:p w14:paraId="26898D9F">
            <w:pPr>
              <w:widowControl/>
              <w:spacing w:line="300" w:lineRule="exact"/>
              <w:jc w:val="left"/>
              <w:rPr>
                <w:rFonts w:ascii="宋体" w:hAnsi="宋体" w:cs="宋体"/>
                <w:kern w:val="0"/>
                <w:szCs w:val="21"/>
              </w:rPr>
            </w:pPr>
            <w:r>
              <w:rPr>
                <w:rFonts w:hint="eastAsia" w:ascii="宋体" w:hAnsi="宋体" w:cs="宋体"/>
                <w:kern w:val="0"/>
                <w:szCs w:val="21"/>
              </w:rPr>
              <w:t>9. 访客管理提供访客预约、访客审批、访客权限管理、黑名单、访客登记、访客签离、保安核验、访客通知、通行记录与访客轨迹查看等功能。支持微信公众号、企业微信、钉钉等三方集成。支持针对多场景预约自定义表单控制；</w:t>
            </w:r>
          </w:p>
          <w:p w14:paraId="6EFBA0BE">
            <w:pPr>
              <w:widowControl/>
              <w:spacing w:line="300" w:lineRule="exact"/>
              <w:jc w:val="left"/>
              <w:rPr>
                <w:rFonts w:ascii="宋体" w:hAnsi="宋体" w:cs="宋体"/>
                <w:kern w:val="0"/>
                <w:szCs w:val="21"/>
              </w:rPr>
            </w:pPr>
            <w:r>
              <w:rPr>
                <w:rFonts w:hint="eastAsia" w:ascii="宋体" w:hAnsi="宋体" w:cs="宋体"/>
                <w:kern w:val="0"/>
                <w:szCs w:val="21"/>
              </w:rPr>
              <w:t>10. 访客端提供H5页面，支持访客登录后发起普通预约，并支持免登陆的快速预约。预约表单支持自定义配置；</w:t>
            </w:r>
          </w:p>
          <w:p w14:paraId="52BBB5D4">
            <w:pPr>
              <w:widowControl/>
              <w:spacing w:line="300" w:lineRule="exact"/>
              <w:jc w:val="left"/>
              <w:rPr>
                <w:rFonts w:ascii="宋体" w:hAnsi="宋体" w:cs="宋体"/>
                <w:kern w:val="0"/>
                <w:szCs w:val="21"/>
              </w:rPr>
            </w:pPr>
            <w:r>
              <w:rPr>
                <w:rFonts w:hint="eastAsia" w:ascii="宋体" w:hAnsi="宋体" w:cs="宋体"/>
                <w:kern w:val="0"/>
                <w:szCs w:val="21"/>
              </w:rPr>
              <w:t>11. 访客端提供我的预约功能，支持查看与我相关的访客单，支持应邀、修改、作废、取消、再次预约等操作；</w:t>
            </w:r>
          </w:p>
          <w:p w14:paraId="00818A1A">
            <w:pPr>
              <w:widowControl/>
              <w:spacing w:line="300" w:lineRule="exact"/>
              <w:jc w:val="left"/>
              <w:rPr>
                <w:rFonts w:ascii="宋体" w:hAnsi="宋体" w:cs="宋体"/>
                <w:kern w:val="0"/>
                <w:szCs w:val="21"/>
              </w:rPr>
            </w:pPr>
            <w:r>
              <w:rPr>
                <w:rFonts w:hint="eastAsia" w:ascii="宋体" w:hAnsi="宋体" w:cs="宋体"/>
                <w:kern w:val="0"/>
                <w:szCs w:val="21"/>
              </w:rPr>
              <w:t>12. 员工端提供平台BS端发起邀约，支持填写访客信息后填写发起邀约；</w:t>
            </w:r>
          </w:p>
          <w:p w14:paraId="2ED1D053">
            <w:pPr>
              <w:widowControl/>
              <w:spacing w:line="300" w:lineRule="exact"/>
              <w:jc w:val="left"/>
              <w:rPr>
                <w:rFonts w:ascii="宋体" w:hAnsi="宋体" w:cs="宋体"/>
                <w:kern w:val="0"/>
                <w:szCs w:val="21"/>
              </w:rPr>
            </w:pPr>
            <w:r>
              <w:rPr>
                <w:rFonts w:hint="eastAsia" w:ascii="宋体" w:hAnsi="宋体" w:cs="宋体"/>
                <w:kern w:val="0"/>
                <w:szCs w:val="21"/>
              </w:rPr>
              <w:t>13. 审批节点支持按照人员、组织、角色、职务、关系人等多种方式添加审批人，配置灵活并可扩展；</w:t>
            </w:r>
          </w:p>
          <w:p w14:paraId="6CA4A470">
            <w:pPr>
              <w:widowControl/>
              <w:spacing w:line="300" w:lineRule="exact"/>
              <w:jc w:val="left"/>
              <w:rPr>
                <w:rFonts w:ascii="宋体" w:hAnsi="宋体" w:cs="宋体"/>
                <w:kern w:val="0"/>
                <w:szCs w:val="21"/>
              </w:rPr>
            </w:pPr>
            <w:r>
              <w:rPr>
                <w:rFonts w:hint="eastAsia" w:ascii="宋体" w:hAnsi="宋体" w:cs="宋体"/>
                <w:kern w:val="0"/>
                <w:szCs w:val="21"/>
              </w:rPr>
              <w:t>14. 员工端提供BS及H5审批管理功能，支持查看我的待审批、已审批列表，支持待审批单据驳回和审批通过；支持批量审批；</w:t>
            </w:r>
          </w:p>
          <w:p w14:paraId="312481A6">
            <w:pPr>
              <w:widowControl/>
              <w:spacing w:line="300" w:lineRule="exact"/>
              <w:jc w:val="left"/>
              <w:rPr>
                <w:rFonts w:ascii="宋体" w:hAnsi="宋体" w:cs="宋体"/>
                <w:kern w:val="0"/>
                <w:szCs w:val="21"/>
              </w:rPr>
            </w:pPr>
            <w:r>
              <w:rPr>
                <w:rFonts w:hint="eastAsia" w:ascii="宋体" w:hAnsi="宋体" w:cs="宋体"/>
                <w:kern w:val="0"/>
                <w:szCs w:val="21"/>
              </w:rPr>
              <w:t>15. 审批中支持开启通行权限调整，开启后审批中可修改单据下发的通行权限组；</w:t>
            </w:r>
          </w:p>
          <w:p w14:paraId="33D08344">
            <w:pPr>
              <w:widowControl/>
              <w:spacing w:line="300" w:lineRule="exact"/>
              <w:jc w:val="left"/>
              <w:rPr>
                <w:rFonts w:ascii="宋体" w:hAnsi="宋体" w:cs="宋体"/>
                <w:kern w:val="0"/>
                <w:szCs w:val="21"/>
              </w:rPr>
            </w:pPr>
            <w:r>
              <w:rPr>
                <w:rFonts w:hint="eastAsia" w:ascii="宋体" w:hAnsi="宋体" w:cs="宋体"/>
                <w:kern w:val="0"/>
                <w:szCs w:val="21"/>
              </w:rPr>
              <w:t>16. 审批中支持开启预约信息修改，字段包括访问区域、访问事由、访客类型，针对访客表单信息填写错误或访客权限分配存在偏差时可在审批中进行修改；</w:t>
            </w:r>
          </w:p>
          <w:p w14:paraId="5070E8F8">
            <w:pPr>
              <w:widowControl/>
              <w:spacing w:line="300" w:lineRule="exact"/>
              <w:jc w:val="left"/>
              <w:rPr>
                <w:rFonts w:ascii="宋体" w:hAnsi="宋体" w:cs="宋体"/>
                <w:b/>
                <w:bCs/>
                <w:kern w:val="0"/>
                <w:szCs w:val="21"/>
              </w:rPr>
            </w:pPr>
            <w:r>
              <w:rPr>
                <w:rFonts w:hint="eastAsia" w:ascii="宋体" w:hAnsi="宋体" w:cs="宋体"/>
                <w:kern w:val="0"/>
                <w:szCs w:val="21"/>
              </w:rPr>
              <w:t>17. ★支持设置向第三方对接（微信公众号、企业微信、钉钉等）推送信息模板，可通过平台用户名发送消息；并提供向第三方单点登录的能力。</w:t>
            </w:r>
            <w:r>
              <w:rPr>
                <w:rFonts w:hint="eastAsia" w:ascii="宋体" w:hAnsi="宋体" w:cs="宋体"/>
                <w:b/>
                <w:bCs/>
                <w:kern w:val="0"/>
                <w:szCs w:val="21"/>
              </w:rPr>
              <w:t>（响应文件中需提供功能截图或照片</w:t>
            </w:r>
            <w:r>
              <w:rPr>
                <w:rFonts w:hint="eastAsia" w:ascii="宋体" w:hAnsi="宋体" w:cs="宋体"/>
                <w:b/>
                <w:bCs/>
              </w:rPr>
              <w:t>证明材料</w:t>
            </w:r>
            <w:r>
              <w:rPr>
                <w:rFonts w:hint="eastAsia" w:ascii="宋体" w:hAnsi="宋体" w:cs="宋体"/>
                <w:b/>
                <w:bCs/>
                <w:kern w:val="0"/>
                <w:szCs w:val="21"/>
              </w:rPr>
              <w:t>并加盖供应商公章）；</w:t>
            </w:r>
          </w:p>
          <w:p w14:paraId="7025631E">
            <w:pPr>
              <w:widowControl/>
              <w:spacing w:line="300" w:lineRule="exact"/>
              <w:jc w:val="left"/>
              <w:rPr>
                <w:rFonts w:ascii="宋体" w:hAnsi="宋体" w:cs="宋体"/>
                <w:kern w:val="0"/>
                <w:szCs w:val="21"/>
              </w:rPr>
            </w:pPr>
            <w:r>
              <w:rPr>
                <w:rFonts w:hint="eastAsia" w:ascii="宋体" w:hAnsi="宋体" w:cs="宋体"/>
                <w:kern w:val="0"/>
                <w:szCs w:val="21"/>
              </w:rPr>
              <w:t>18. 权限组支持添加门禁设备、停车场设备、梯控设备和人脸分组；</w:t>
            </w:r>
          </w:p>
          <w:p w14:paraId="085330F2">
            <w:pPr>
              <w:widowControl/>
              <w:spacing w:line="300" w:lineRule="exact"/>
              <w:jc w:val="left"/>
              <w:rPr>
                <w:rFonts w:ascii="宋体" w:hAnsi="宋体" w:cs="宋体"/>
                <w:kern w:val="0"/>
                <w:szCs w:val="21"/>
              </w:rPr>
            </w:pPr>
            <w:r>
              <w:rPr>
                <w:rFonts w:hint="eastAsia" w:ascii="宋体" w:hAnsi="宋体" w:cs="宋体"/>
                <w:kern w:val="0"/>
                <w:szCs w:val="21"/>
              </w:rPr>
              <w:t>19. 支持按签到方式下发通行权限，自动签到时在即将到达访问时间时自动下发，手动签到时在访客机签到时下发权限；</w:t>
            </w:r>
          </w:p>
          <w:p w14:paraId="7DF11F85">
            <w:pPr>
              <w:widowControl/>
              <w:spacing w:line="300" w:lineRule="exact"/>
              <w:jc w:val="left"/>
              <w:rPr>
                <w:rFonts w:ascii="宋体" w:hAnsi="宋体" w:cs="宋体"/>
                <w:kern w:val="0"/>
                <w:szCs w:val="21"/>
              </w:rPr>
            </w:pPr>
            <w:r>
              <w:rPr>
                <w:rFonts w:hint="eastAsia" w:ascii="宋体" w:hAnsi="宋体" w:cs="宋体"/>
                <w:kern w:val="0"/>
                <w:szCs w:val="21"/>
              </w:rPr>
              <w:t>20. 平台BS端支持手动添加手机号、证件号、车牌号（配置侧可配置）将访客添加黑名单；</w:t>
            </w:r>
          </w:p>
          <w:p w14:paraId="7F8F8968">
            <w:pPr>
              <w:widowControl/>
              <w:spacing w:line="300" w:lineRule="exact"/>
              <w:jc w:val="left"/>
              <w:rPr>
                <w:rFonts w:ascii="宋体" w:hAnsi="宋体" w:cs="宋体"/>
                <w:kern w:val="0"/>
                <w:szCs w:val="21"/>
              </w:rPr>
            </w:pPr>
            <w:r>
              <w:rPr>
                <w:rFonts w:hint="eastAsia" w:ascii="宋体" w:hAnsi="宋体" w:cs="宋体"/>
                <w:kern w:val="0"/>
                <w:szCs w:val="21"/>
              </w:rPr>
              <w:t>21. 支持自助访客机已预约登记，已预约访客通过访客码、身份证、手机尾号在自助访客机进行登记；</w:t>
            </w:r>
          </w:p>
          <w:p w14:paraId="46E5426B">
            <w:pPr>
              <w:widowControl/>
              <w:spacing w:line="300" w:lineRule="exact"/>
              <w:jc w:val="left"/>
              <w:rPr>
                <w:rFonts w:ascii="宋体" w:hAnsi="宋体" w:cs="宋体"/>
                <w:b/>
                <w:bCs/>
                <w:kern w:val="0"/>
                <w:szCs w:val="21"/>
              </w:rPr>
            </w:pPr>
            <w:r>
              <w:rPr>
                <w:rFonts w:hint="eastAsia" w:ascii="宋体" w:hAnsi="宋体" w:cs="宋体"/>
                <w:kern w:val="0"/>
                <w:szCs w:val="21"/>
              </w:rPr>
              <w:t>22. ★支持展示和导出车辆来访记录，并通过流程单号、车牌号、访问时间、邀约人姓名、邀约人电话、状态（已签离、已过期、已签到、全部）查询。</w:t>
            </w:r>
            <w:r>
              <w:rPr>
                <w:rFonts w:hint="eastAsia" w:ascii="宋体" w:hAnsi="宋体" w:cs="宋体"/>
                <w:b/>
                <w:bCs/>
                <w:kern w:val="0"/>
                <w:szCs w:val="21"/>
              </w:rPr>
              <w:t>（响应文件中需提供功能截图或照片</w:t>
            </w:r>
            <w:r>
              <w:rPr>
                <w:rFonts w:hint="eastAsia" w:ascii="宋体" w:hAnsi="宋体" w:cs="宋体"/>
                <w:b/>
                <w:bCs/>
              </w:rPr>
              <w:t>证明材料</w:t>
            </w:r>
            <w:r>
              <w:rPr>
                <w:rFonts w:hint="eastAsia" w:ascii="宋体" w:hAnsi="宋体" w:cs="宋体"/>
                <w:b/>
                <w:bCs/>
                <w:kern w:val="0"/>
                <w:szCs w:val="21"/>
              </w:rPr>
              <w:t>并加盖供应商公章）；</w:t>
            </w:r>
          </w:p>
          <w:p w14:paraId="50800D66">
            <w:pPr>
              <w:widowControl/>
              <w:spacing w:line="300" w:lineRule="exact"/>
              <w:jc w:val="left"/>
              <w:rPr>
                <w:rFonts w:ascii="宋体" w:hAnsi="宋体" w:cs="宋体"/>
                <w:kern w:val="0"/>
                <w:szCs w:val="21"/>
              </w:rPr>
            </w:pPr>
            <w:r>
              <w:rPr>
                <w:rFonts w:hint="eastAsia" w:ascii="宋体" w:hAnsi="宋体" w:cs="宋体"/>
                <w:kern w:val="0"/>
                <w:szCs w:val="21"/>
              </w:rPr>
              <w:t>23. 提供待访列表保安可查看全部/今日的待访访客列表；</w:t>
            </w:r>
          </w:p>
          <w:p w14:paraId="25B98D6E">
            <w:pPr>
              <w:widowControl/>
              <w:spacing w:line="300" w:lineRule="exact"/>
              <w:jc w:val="left"/>
              <w:rPr>
                <w:rFonts w:ascii="宋体" w:hAnsi="宋体" w:cs="宋体"/>
                <w:kern w:val="0"/>
                <w:szCs w:val="21"/>
              </w:rPr>
            </w:pPr>
            <w:r>
              <w:rPr>
                <w:rFonts w:hint="eastAsia" w:ascii="宋体" w:hAnsi="宋体" w:cs="宋体"/>
                <w:kern w:val="0"/>
                <w:szCs w:val="21"/>
              </w:rPr>
              <w:t>24. 提供访客来访记录列表，可查看所有已完成的访客单；</w:t>
            </w:r>
          </w:p>
          <w:p w14:paraId="68C69003">
            <w:pPr>
              <w:widowControl/>
              <w:spacing w:line="300" w:lineRule="exact"/>
              <w:jc w:val="left"/>
              <w:rPr>
                <w:rFonts w:ascii="宋体" w:hAnsi="宋体" w:cs="宋体"/>
                <w:b/>
                <w:bCs/>
                <w:kern w:val="0"/>
                <w:szCs w:val="21"/>
              </w:rPr>
            </w:pPr>
            <w:r>
              <w:rPr>
                <w:rFonts w:hint="eastAsia" w:ascii="宋体" w:hAnsi="宋体" w:cs="宋体"/>
                <w:kern w:val="0"/>
                <w:szCs w:val="21"/>
              </w:rPr>
              <w:t>25. ★支持老师通过Web端或H5对外来车辆发起邀约，选择访问园区、访问部门、访问时间、来访车辆车牌号、车主姓名、车主手机号、访问事由</w:t>
            </w:r>
            <w:r>
              <w:rPr>
                <w:rFonts w:hint="eastAsia" w:ascii="宋体" w:hAnsi="宋体" w:cs="宋体"/>
                <w:b/>
                <w:bCs/>
                <w:kern w:val="0"/>
                <w:szCs w:val="21"/>
              </w:rPr>
              <w:t>（响应文件中需提供功能截图或照片</w:t>
            </w:r>
            <w:r>
              <w:rPr>
                <w:rFonts w:hint="eastAsia" w:ascii="宋体" w:hAnsi="宋体" w:cs="宋体"/>
                <w:b/>
                <w:bCs/>
              </w:rPr>
              <w:t>证明材料</w:t>
            </w:r>
            <w:r>
              <w:rPr>
                <w:rFonts w:hint="eastAsia" w:ascii="宋体" w:hAnsi="宋体" w:cs="宋体"/>
                <w:b/>
                <w:bCs/>
                <w:kern w:val="0"/>
                <w:szCs w:val="21"/>
              </w:rPr>
              <w:t>并加盖供应商公章）；</w:t>
            </w:r>
          </w:p>
          <w:p w14:paraId="29978BC2">
            <w:pPr>
              <w:widowControl/>
              <w:spacing w:line="300" w:lineRule="exact"/>
              <w:jc w:val="left"/>
              <w:rPr>
                <w:rFonts w:ascii="宋体" w:hAnsi="宋体" w:cs="宋体"/>
                <w:kern w:val="0"/>
                <w:szCs w:val="21"/>
              </w:rPr>
            </w:pPr>
            <w:r>
              <w:rPr>
                <w:rFonts w:hint="eastAsia" w:ascii="宋体" w:hAnsi="宋体" w:cs="宋体"/>
                <w:kern w:val="0"/>
                <w:szCs w:val="21"/>
              </w:rPr>
              <w:t>26. 平台BS端提供访客通知配置，可自定义是否开</w:t>
            </w:r>
            <w:bookmarkStart w:id="4" w:name="_GoBack"/>
            <w:bookmarkEnd w:id="4"/>
            <w:r>
              <w:rPr>
                <w:rFonts w:hint="eastAsia" w:ascii="宋体" w:hAnsi="宋体" w:cs="宋体"/>
                <w:kern w:val="0"/>
                <w:szCs w:val="21"/>
              </w:rPr>
              <w:t>启节点通知；</w:t>
            </w:r>
          </w:p>
          <w:p w14:paraId="5952ACA0">
            <w:pPr>
              <w:widowControl/>
              <w:spacing w:line="300" w:lineRule="exact"/>
              <w:jc w:val="left"/>
              <w:rPr>
                <w:rFonts w:ascii="宋体" w:hAnsi="宋体" w:cs="宋体"/>
                <w:kern w:val="0"/>
                <w:szCs w:val="21"/>
              </w:rPr>
            </w:pPr>
            <w:r>
              <w:rPr>
                <w:rFonts w:hint="eastAsia" w:ascii="宋体" w:hAnsi="宋体" w:cs="宋体"/>
                <w:kern w:val="0"/>
                <w:szCs w:val="21"/>
              </w:rPr>
              <w:t>27. 提供通行记录页面，支持查看访客产生的门禁和车辆事件；</w:t>
            </w:r>
          </w:p>
          <w:p w14:paraId="6B2BEAE3">
            <w:pPr>
              <w:widowControl/>
              <w:spacing w:line="300" w:lineRule="exact"/>
              <w:jc w:val="left"/>
              <w:rPr>
                <w:rFonts w:ascii="宋体" w:hAnsi="宋体" w:cs="宋体"/>
                <w:kern w:val="0"/>
                <w:szCs w:val="21"/>
              </w:rPr>
            </w:pPr>
            <w:r>
              <w:rPr>
                <w:rFonts w:hint="eastAsia" w:ascii="宋体" w:hAnsi="宋体" w:cs="宋体"/>
                <w:kern w:val="0"/>
                <w:szCs w:val="21"/>
              </w:rPr>
              <w:t>28. 支持表单自定义，提供控制表单字段是否启用、是否必填的能力，同时支持扩展自定义字段；</w:t>
            </w:r>
          </w:p>
          <w:p w14:paraId="7C5CFDEA">
            <w:pPr>
              <w:widowControl/>
              <w:spacing w:line="300" w:lineRule="exact"/>
              <w:jc w:val="left"/>
              <w:rPr>
                <w:rFonts w:ascii="宋体" w:hAnsi="宋体" w:cs="宋体"/>
                <w:kern w:val="0"/>
                <w:szCs w:val="21"/>
              </w:rPr>
            </w:pPr>
            <w:r>
              <w:rPr>
                <w:rFonts w:hint="eastAsia" w:ascii="宋体" w:hAnsi="宋体" w:cs="宋体"/>
                <w:kern w:val="0"/>
                <w:szCs w:val="21"/>
              </w:rPr>
              <w:t>29. 支持扩展消息模板，访客通知可直接关联自定义模板；</w:t>
            </w:r>
          </w:p>
          <w:p w14:paraId="5AB0C396">
            <w:pPr>
              <w:widowControl/>
              <w:spacing w:line="300" w:lineRule="exact"/>
              <w:jc w:val="left"/>
              <w:rPr>
                <w:rFonts w:ascii="宋体" w:hAnsi="宋体" w:cs="宋体"/>
                <w:kern w:val="0"/>
                <w:szCs w:val="21"/>
              </w:rPr>
            </w:pPr>
            <w:r>
              <w:rPr>
                <w:rFonts w:hint="eastAsia" w:ascii="宋体" w:hAnsi="宋体" w:cs="宋体"/>
                <w:kern w:val="0"/>
                <w:szCs w:val="21"/>
              </w:rPr>
              <w:t>30. 支持访客H5、员工H5菜单自定义显隐、支持编辑按钮是否启用。</w:t>
            </w:r>
          </w:p>
        </w:tc>
        <w:tc>
          <w:tcPr>
            <w:tcW w:w="583" w:type="dxa"/>
            <w:vAlign w:val="center"/>
          </w:tcPr>
          <w:p w14:paraId="3D48EE81">
            <w:pPr>
              <w:widowControl/>
              <w:spacing w:line="300" w:lineRule="exact"/>
              <w:jc w:val="center"/>
              <w:rPr>
                <w:rFonts w:ascii="宋体" w:hAnsi="宋体" w:cs="宋体"/>
                <w:kern w:val="0"/>
                <w:szCs w:val="21"/>
              </w:rPr>
            </w:pPr>
            <w:r>
              <w:rPr>
                <w:rFonts w:hint="eastAsia" w:ascii="宋体" w:hAnsi="宋体" w:cs="宋体"/>
                <w:kern w:val="0"/>
                <w:szCs w:val="21"/>
              </w:rPr>
              <w:t>1</w:t>
            </w:r>
          </w:p>
        </w:tc>
        <w:tc>
          <w:tcPr>
            <w:tcW w:w="600" w:type="dxa"/>
            <w:vAlign w:val="center"/>
          </w:tcPr>
          <w:p w14:paraId="01EBE226">
            <w:pPr>
              <w:widowControl/>
              <w:spacing w:line="300" w:lineRule="exact"/>
              <w:jc w:val="center"/>
              <w:rPr>
                <w:rFonts w:ascii="宋体" w:hAnsi="宋体" w:cs="宋体"/>
                <w:kern w:val="0"/>
                <w:szCs w:val="21"/>
              </w:rPr>
            </w:pPr>
            <w:r>
              <w:rPr>
                <w:rFonts w:hint="eastAsia" w:ascii="宋体" w:hAnsi="宋体" w:cs="宋体"/>
                <w:kern w:val="0"/>
                <w:szCs w:val="21"/>
              </w:rPr>
              <w:t>套</w:t>
            </w:r>
          </w:p>
        </w:tc>
        <w:tc>
          <w:tcPr>
            <w:tcW w:w="767" w:type="dxa"/>
            <w:vAlign w:val="center"/>
          </w:tcPr>
          <w:p w14:paraId="56A572FF">
            <w:pPr>
              <w:widowControl/>
              <w:spacing w:line="300" w:lineRule="exact"/>
              <w:jc w:val="center"/>
              <w:rPr>
                <w:rFonts w:ascii="宋体" w:hAnsi="宋体" w:cs="宋体"/>
                <w:kern w:val="0"/>
                <w:szCs w:val="21"/>
              </w:rPr>
            </w:pPr>
            <w:r>
              <w:rPr>
                <w:rFonts w:hint="eastAsia" w:ascii="宋体" w:hAnsi="宋体" w:cs="宋体"/>
                <w:kern w:val="0"/>
                <w:szCs w:val="21"/>
              </w:rPr>
              <w:t>87500</w:t>
            </w:r>
          </w:p>
        </w:tc>
        <w:tc>
          <w:tcPr>
            <w:tcW w:w="755" w:type="dxa"/>
            <w:vAlign w:val="center"/>
          </w:tcPr>
          <w:p w14:paraId="2555AF5F">
            <w:pPr>
              <w:jc w:val="center"/>
              <w:rPr>
                <w:rFonts w:ascii="宋体" w:hAnsi="宋体"/>
                <w:szCs w:val="21"/>
              </w:rPr>
            </w:pPr>
            <w:r>
              <w:rPr>
                <w:rFonts w:hint="eastAsia" w:ascii="宋体" w:hAnsi="宋体" w:cs="宋体"/>
                <w:kern w:val="0"/>
                <w:szCs w:val="21"/>
              </w:rPr>
              <w:t>87500</w:t>
            </w:r>
          </w:p>
        </w:tc>
      </w:tr>
      <w:tr w14:paraId="715C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50F03AAE">
            <w:pPr>
              <w:jc w:val="center"/>
              <w:rPr>
                <w:rFonts w:ascii="宋体" w:hAnsi="宋体"/>
                <w:szCs w:val="21"/>
              </w:rPr>
            </w:pPr>
            <w:r>
              <w:rPr>
                <w:rFonts w:hint="eastAsia" w:ascii="宋体" w:hAnsi="宋体"/>
                <w:szCs w:val="21"/>
              </w:rPr>
              <w:t>2</w:t>
            </w:r>
          </w:p>
        </w:tc>
        <w:tc>
          <w:tcPr>
            <w:tcW w:w="1100" w:type="dxa"/>
            <w:vAlign w:val="center"/>
          </w:tcPr>
          <w:p w14:paraId="5B726804">
            <w:pPr>
              <w:widowControl/>
              <w:spacing w:line="300" w:lineRule="exact"/>
              <w:rPr>
                <w:rFonts w:ascii="宋体" w:hAnsi="宋体" w:cs="宋体"/>
                <w:kern w:val="0"/>
                <w:szCs w:val="21"/>
              </w:rPr>
            </w:pPr>
            <w:r>
              <w:rPr>
                <w:rFonts w:hint="eastAsia" w:ascii="宋体" w:hAnsi="宋体" w:cs="宋体"/>
                <w:kern w:val="0"/>
                <w:szCs w:val="21"/>
              </w:rPr>
              <w:t>服务器</w:t>
            </w:r>
          </w:p>
        </w:tc>
        <w:tc>
          <w:tcPr>
            <w:tcW w:w="5035" w:type="dxa"/>
            <w:vAlign w:val="center"/>
          </w:tcPr>
          <w:p w14:paraId="4AFA7AF8">
            <w:pPr>
              <w:widowControl/>
              <w:spacing w:line="300" w:lineRule="exact"/>
              <w:jc w:val="left"/>
              <w:rPr>
                <w:rFonts w:ascii="宋体" w:hAnsi="宋体" w:cs="宋体"/>
                <w:kern w:val="0"/>
                <w:szCs w:val="21"/>
              </w:rPr>
            </w:pPr>
            <w:r>
              <w:rPr>
                <w:rFonts w:hint="eastAsia" w:ascii="宋体" w:hAnsi="宋体" w:cs="宋体"/>
                <w:kern w:val="0"/>
                <w:szCs w:val="21"/>
              </w:rPr>
              <w:t>1. 2U双路标准机架式服务器；</w:t>
            </w:r>
          </w:p>
          <w:p w14:paraId="3380762B">
            <w:pPr>
              <w:widowControl/>
              <w:spacing w:line="300" w:lineRule="exact"/>
              <w:jc w:val="left"/>
              <w:rPr>
                <w:rFonts w:ascii="宋体" w:hAnsi="宋体" w:cs="宋体"/>
                <w:kern w:val="0"/>
                <w:szCs w:val="21"/>
              </w:rPr>
            </w:pPr>
            <w:r>
              <w:rPr>
                <w:rFonts w:hint="eastAsia" w:ascii="宋体" w:hAnsi="宋体" w:cs="宋体"/>
                <w:kern w:val="0"/>
                <w:szCs w:val="21"/>
              </w:rPr>
              <w:t>2. CPU：配置2颗处理器，核数≥12核，主频≥2.4GHz ；</w:t>
            </w:r>
          </w:p>
          <w:p w14:paraId="41D3E715">
            <w:pPr>
              <w:widowControl/>
              <w:spacing w:line="300" w:lineRule="exact"/>
              <w:jc w:val="left"/>
              <w:rPr>
                <w:rFonts w:ascii="宋体" w:hAnsi="宋体" w:cs="宋体"/>
                <w:kern w:val="0"/>
                <w:szCs w:val="21"/>
              </w:rPr>
            </w:pPr>
            <w:r>
              <w:rPr>
                <w:rFonts w:hint="eastAsia" w:ascii="宋体" w:hAnsi="宋体" w:cs="宋体"/>
                <w:kern w:val="0"/>
                <w:szCs w:val="21"/>
              </w:rPr>
              <w:t>3. 内存：配置64G DDR5，16个内存插槽，最大支持扩展至2TB内存；</w:t>
            </w:r>
          </w:p>
          <w:p w14:paraId="031D82E8">
            <w:pPr>
              <w:widowControl/>
              <w:spacing w:line="300" w:lineRule="exact"/>
              <w:jc w:val="left"/>
              <w:rPr>
                <w:rFonts w:ascii="宋体" w:hAnsi="宋体" w:cs="宋体"/>
                <w:kern w:val="0"/>
                <w:szCs w:val="21"/>
              </w:rPr>
            </w:pPr>
            <w:r>
              <w:rPr>
                <w:rFonts w:hint="eastAsia" w:ascii="宋体" w:hAnsi="宋体" w:cs="宋体"/>
                <w:kern w:val="0"/>
                <w:szCs w:val="21"/>
              </w:rPr>
              <w:t>4. 硬盘：配置2块960G SSD硬盘，默认支持8个3.5寸/2.5寸硬盘，可选最大支持12个3.5寸/2.5寸硬盘，可选兼容4个NVMe硬盘；</w:t>
            </w:r>
          </w:p>
          <w:p w14:paraId="7D32F40C">
            <w:pPr>
              <w:widowControl/>
              <w:spacing w:line="300" w:lineRule="exact"/>
              <w:jc w:val="left"/>
              <w:rPr>
                <w:rFonts w:ascii="宋体" w:hAnsi="宋体" w:cs="宋体"/>
                <w:kern w:val="0"/>
                <w:szCs w:val="21"/>
              </w:rPr>
            </w:pPr>
            <w:r>
              <w:rPr>
                <w:rFonts w:hint="eastAsia" w:ascii="宋体" w:hAnsi="宋体" w:cs="宋体"/>
                <w:kern w:val="0"/>
                <w:szCs w:val="21"/>
              </w:rPr>
              <w:t>5. 阵列卡：配置SAS+HBA卡，支持RAID 0/1/10 ；</w:t>
            </w:r>
          </w:p>
          <w:p w14:paraId="20EC09F5">
            <w:pPr>
              <w:widowControl/>
              <w:spacing w:line="300" w:lineRule="exact"/>
              <w:jc w:val="left"/>
              <w:rPr>
                <w:rFonts w:ascii="宋体" w:hAnsi="宋体" w:cs="宋体"/>
                <w:kern w:val="0"/>
                <w:szCs w:val="21"/>
              </w:rPr>
            </w:pPr>
            <w:r>
              <w:rPr>
                <w:rFonts w:hint="eastAsia" w:ascii="宋体" w:hAnsi="宋体" w:cs="宋体"/>
                <w:kern w:val="0"/>
                <w:szCs w:val="21"/>
              </w:rPr>
              <w:t>6. PCIE扩展：支持7个PCIe扩展插槽（包括1个OCP 插槽），其中5个PCIe 5.0</w:t>
            </w:r>
          </w:p>
          <w:p w14:paraId="7861EA77">
            <w:pPr>
              <w:widowControl/>
              <w:spacing w:line="300" w:lineRule="exact"/>
              <w:jc w:val="left"/>
              <w:rPr>
                <w:rFonts w:ascii="宋体" w:hAnsi="宋体" w:cs="宋体"/>
                <w:kern w:val="0"/>
                <w:szCs w:val="21"/>
              </w:rPr>
            </w:pPr>
            <w:r>
              <w:rPr>
                <w:rFonts w:hint="eastAsia" w:ascii="宋体" w:hAnsi="宋体" w:cs="宋体"/>
                <w:kern w:val="0"/>
                <w:szCs w:val="21"/>
              </w:rPr>
              <w:t>7. 网口：2个千兆电口，2个万兆光口（含多模光模块）； 支持选配10GbE、25GbE SFP+等多种网络接口；</w:t>
            </w:r>
          </w:p>
          <w:p w14:paraId="2024C3CB">
            <w:pPr>
              <w:widowControl/>
              <w:spacing w:line="300" w:lineRule="exact"/>
              <w:jc w:val="left"/>
              <w:rPr>
                <w:rFonts w:ascii="宋体" w:hAnsi="宋体" w:cs="宋体"/>
                <w:kern w:val="0"/>
                <w:szCs w:val="21"/>
              </w:rPr>
            </w:pPr>
            <w:r>
              <w:rPr>
                <w:rFonts w:hint="eastAsia" w:ascii="宋体" w:hAnsi="宋体" w:cs="宋体"/>
                <w:kern w:val="0"/>
                <w:szCs w:val="21"/>
              </w:rPr>
              <w:t>8. 其他接口：1个RJ45管理接口，后置2个USB 3.0接口，前置2个USB2.0接口，1个VGA接口；</w:t>
            </w:r>
          </w:p>
          <w:p w14:paraId="73145457">
            <w:pPr>
              <w:widowControl/>
              <w:spacing w:line="300" w:lineRule="exact"/>
              <w:jc w:val="left"/>
              <w:rPr>
                <w:rFonts w:ascii="宋体" w:hAnsi="宋体" w:cs="宋体"/>
                <w:kern w:val="0"/>
                <w:szCs w:val="21"/>
              </w:rPr>
            </w:pPr>
            <w:r>
              <w:rPr>
                <w:rFonts w:hint="eastAsia" w:ascii="宋体" w:hAnsi="宋体" w:cs="宋体"/>
                <w:kern w:val="0"/>
                <w:szCs w:val="21"/>
              </w:rPr>
              <w:t>9. 电源：标配550W（1+1）高效白金热插拔冗余电源。</w:t>
            </w:r>
          </w:p>
        </w:tc>
        <w:tc>
          <w:tcPr>
            <w:tcW w:w="583" w:type="dxa"/>
            <w:vAlign w:val="center"/>
          </w:tcPr>
          <w:p w14:paraId="681C0681">
            <w:pPr>
              <w:widowControl/>
              <w:spacing w:line="300" w:lineRule="exact"/>
              <w:jc w:val="center"/>
              <w:rPr>
                <w:rFonts w:ascii="宋体" w:hAnsi="宋体" w:cs="宋体"/>
                <w:kern w:val="0"/>
                <w:szCs w:val="21"/>
              </w:rPr>
            </w:pPr>
            <w:r>
              <w:rPr>
                <w:rFonts w:hint="eastAsia" w:ascii="宋体" w:hAnsi="宋体" w:cs="宋体"/>
                <w:kern w:val="0"/>
                <w:szCs w:val="21"/>
              </w:rPr>
              <w:t>1</w:t>
            </w:r>
          </w:p>
        </w:tc>
        <w:tc>
          <w:tcPr>
            <w:tcW w:w="600" w:type="dxa"/>
            <w:vAlign w:val="center"/>
          </w:tcPr>
          <w:p w14:paraId="35EAA11C">
            <w:pPr>
              <w:widowControl/>
              <w:spacing w:line="300" w:lineRule="exact"/>
              <w:jc w:val="center"/>
              <w:rPr>
                <w:rFonts w:ascii="宋体" w:hAnsi="宋体" w:cs="宋体"/>
                <w:kern w:val="0"/>
                <w:szCs w:val="21"/>
              </w:rPr>
            </w:pPr>
            <w:r>
              <w:rPr>
                <w:rFonts w:hint="eastAsia" w:ascii="宋体" w:hAnsi="宋体" w:cs="宋体"/>
                <w:kern w:val="0"/>
                <w:szCs w:val="21"/>
              </w:rPr>
              <w:t>台</w:t>
            </w:r>
          </w:p>
        </w:tc>
        <w:tc>
          <w:tcPr>
            <w:tcW w:w="767" w:type="dxa"/>
            <w:vAlign w:val="center"/>
          </w:tcPr>
          <w:p w14:paraId="41E5F225">
            <w:pPr>
              <w:widowControl/>
              <w:spacing w:line="300" w:lineRule="exact"/>
              <w:jc w:val="center"/>
              <w:rPr>
                <w:rFonts w:ascii="宋体" w:hAnsi="宋体" w:cs="宋体"/>
                <w:kern w:val="0"/>
                <w:szCs w:val="21"/>
              </w:rPr>
            </w:pPr>
            <w:r>
              <w:rPr>
                <w:rFonts w:hint="eastAsia" w:ascii="宋体" w:hAnsi="宋体" w:cs="宋体"/>
                <w:kern w:val="0"/>
                <w:szCs w:val="21"/>
              </w:rPr>
              <w:t>45</w:t>
            </w:r>
            <w:r>
              <w:rPr>
                <w:rFonts w:ascii="宋体" w:hAnsi="宋体" w:cs="宋体"/>
                <w:kern w:val="0"/>
                <w:szCs w:val="21"/>
              </w:rPr>
              <w:t>000</w:t>
            </w:r>
          </w:p>
        </w:tc>
        <w:tc>
          <w:tcPr>
            <w:tcW w:w="755" w:type="dxa"/>
            <w:vAlign w:val="center"/>
          </w:tcPr>
          <w:p w14:paraId="4FF6C0E6">
            <w:pPr>
              <w:widowControl/>
              <w:spacing w:line="300" w:lineRule="exact"/>
              <w:jc w:val="center"/>
              <w:rPr>
                <w:rFonts w:ascii="宋体" w:hAnsi="宋体" w:cs="宋体"/>
                <w:kern w:val="0"/>
                <w:szCs w:val="21"/>
              </w:rPr>
            </w:pPr>
            <w:r>
              <w:rPr>
                <w:rFonts w:hint="eastAsia" w:ascii="宋体" w:hAnsi="宋体" w:cs="宋体"/>
                <w:kern w:val="0"/>
                <w:szCs w:val="21"/>
              </w:rPr>
              <w:t>45</w:t>
            </w:r>
            <w:r>
              <w:rPr>
                <w:rFonts w:ascii="宋体" w:hAnsi="宋体" w:cs="宋体"/>
                <w:kern w:val="0"/>
                <w:szCs w:val="21"/>
              </w:rPr>
              <w:t>000</w:t>
            </w:r>
          </w:p>
        </w:tc>
      </w:tr>
      <w:tr w14:paraId="4322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47F54785">
            <w:pPr>
              <w:widowControl/>
              <w:spacing w:line="300" w:lineRule="exact"/>
              <w:jc w:val="center"/>
              <w:rPr>
                <w:rFonts w:ascii="宋体" w:hAnsi="宋体" w:cs="宋体"/>
                <w:kern w:val="0"/>
                <w:szCs w:val="21"/>
              </w:rPr>
            </w:pPr>
            <w:r>
              <w:rPr>
                <w:rFonts w:ascii="宋体" w:hAnsi="宋体" w:cs="宋体"/>
                <w:kern w:val="0"/>
                <w:szCs w:val="21"/>
              </w:rPr>
              <w:t>3</w:t>
            </w:r>
          </w:p>
        </w:tc>
        <w:tc>
          <w:tcPr>
            <w:tcW w:w="1100" w:type="dxa"/>
            <w:vAlign w:val="center"/>
          </w:tcPr>
          <w:p w14:paraId="43DE2B3B">
            <w:pPr>
              <w:widowControl/>
              <w:spacing w:line="300" w:lineRule="exact"/>
              <w:jc w:val="center"/>
              <w:rPr>
                <w:rFonts w:ascii="宋体" w:hAnsi="宋体" w:cs="宋体"/>
                <w:kern w:val="0"/>
                <w:szCs w:val="21"/>
              </w:rPr>
            </w:pPr>
            <w:r>
              <w:rPr>
                <w:rFonts w:hint="eastAsia" w:ascii="宋体" w:hAnsi="宋体" w:cs="宋体"/>
                <w:kern w:val="0"/>
                <w:szCs w:val="21"/>
              </w:rPr>
              <w:t>访客机</w:t>
            </w:r>
          </w:p>
        </w:tc>
        <w:tc>
          <w:tcPr>
            <w:tcW w:w="5035" w:type="dxa"/>
            <w:vAlign w:val="center"/>
          </w:tcPr>
          <w:p w14:paraId="13E71436">
            <w:pPr>
              <w:widowControl/>
              <w:spacing w:line="300" w:lineRule="exact"/>
              <w:jc w:val="left"/>
              <w:rPr>
                <w:rFonts w:ascii="宋体" w:hAnsi="宋体" w:cs="宋体"/>
                <w:kern w:val="0"/>
                <w:szCs w:val="21"/>
              </w:rPr>
            </w:pPr>
            <w:r>
              <w:rPr>
                <w:rFonts w:hint="eastAsia" w:ascii="宋体" w:hAnsi="宋体" w:cs="宋体"/>
                <w:kern w:val="0"/>
                <w:szCs w:val="21"/>
              </w:rPr>
              <w:t>1.屏幕参数： 访客侧：10.1寸显示屏，1280*800分辨率；管理员侧：10.1寸触摸屏，1280*800分辨率；</w:t>
            </w:r>
          </w:p>
          <w:p w14:paraId="054D343F">
            <w:pPr>
              <w:widowControl/>
              <w:spacing w:line="300" w:lineRule="exact"/>
              <w:jc w:val="left"/>
              <w:rPr>
                <w:rFonts w:ascii="宋体" w:hAnsi="宋体" w:cs="宋体"/>
                <w:kern w:val="0"/>
                <w:szCs w:val="21"/>
              </w:rPr>
            </w:pPr>
            <w:r>
              <w:rPr>
                <w:rFonts w:hint="eastAsia" w:ascii="宋体" w:hAnsi="宋体" w:cs="宋体"/>
                <w:kern w:val="0"/>
                <w:szCs w:val="21"/>
              </w:rPr>
              <w:t>2.设备应配有指示打，具有如下接口：LAN、WIFI双网络；RJ45*1；RS485*1；RS232*1；USB Type A*3；IO输入*1；门锁输出*1；内置扬声器*1；TF卡槽*1；开关机键*1；HDMI*1 ；</w:t>
            </w:r>
          </w:p>
          <w:p w14:paraId="7C245518">
            <w:pPr>
              <w:widowControl/>
              <w:spacing w:line="300" w:lineRule="exact"/>
              <w:jc w:val="left"/>
              <w:rPr>
                <w:rFonts w:ascii="宋体" w:hAnsi="宋体" w:cs="宋体"/>
                <w:kern w:val="0"/>
                <w:szCs w:val="21"/>
              </w:rPr>
            </w:pPr>
            <w:r>
              <w:rPr>
                <w:rFonts w:hint="eastAsia" w:ascii="宋体" w:hAnsi="宋体" w:cs="宋体"/>
                <w:kern w:val="0"/>
                <w:szCs w:val="21"/>
              </w:rPr>
              <w:t>3.系统及各主要组成部分应有表明其工作正常的自检功能；有指示灯提示设备工作状态；UI界面有网络连接状态及布防状态提示；</w:t>
            </w:r>
          </w:p>
          <w:p w14:paraId="122A5BB5">
            <w:pPr>
              <w:widowControl/>
              <w:spacing w:line="300" w:lineRule="exact"/>
              <w:jc w:val="left"/>
              <w:rPr>
                <w:rFonts w:ascii="宋体" w:hAnsi="宋体" w:cs="宋体"/>
                <w:kern w:val="0"/>
                <w:szCs w:val="21"/>
              </w:rPr>
            </w:pPr>
            <w:r>
              <w:rPr>
                <w:rFonts w:hint="eastAsia" w:ascii="宋体" w:hAnsi="宋体" w:cs="宋体"/>
                <w:kern w:val="0"/>
                <w:szCs w:val="21"/>
              </w:rPr>
              <w:t>4.支持通过平台进行访客预约；预约访客信息包括：姓名、性别、手机号码、证件类型、证件号码、车牌号、访客单位、来访事由、来访时间、离开时间、来访区域、被访人、备注等信息；访客信息支持自定义项，自定义项可由用户更改名称；可配置各信息项是否显示、是否必选；支持预约访客登记，可通过输入预约码、手机号（后4位）或刷身份证来启动登记；预约访客登记时可自动填充已预约的信息；对于刷身份证的访客，可获取身份证信息自动填充到登记信息中；之前登记过的访客，再次来访登记时，可获取历史信息自动填充到登记信息中 ；</w:t>
            </w:r>
          </w:p>
          <w:p w14:paraId="4A618343">
            <w:pPr>
              <w:widowControl/>
              <w:spacing w:line="300" w:lineRule="exact"/>
              <w:jc w:val="left"/>
              <w:rPr>
                <w:rFonts w:ascii="宋体" w:hAnsi="宋体" w:cs="宋体"/>
                <w:kern w:val="0"/>
                <w:szCs w:val="21"/>
              </w:rPr>
            </w:pPr>
            <w:r>
              <w:rPr>
                <w:rFonts w:hint="eastAsia" w:ascii="宋体" w:hAnsi="宋体" w:cs="宋体"/>
                <w:kern w:val="0"/>
                <w:szCs w:val="21"/>
              </w:rPr>
              <w:t>5.应支持人脸识别功能，现场抓拍人脸照片与本地人脸库照片或身份证内照片进行比对，进行人员身份核验；应支持联网与后端平台对接，实现人脸比对功能；支持在0.0011ux低照度无补光环境下正常实现人脸识别，适应强光、逆光、暗光等条件的人脸识别；应支持侧脸，遮挡，模糊，表情，戴眼睛等实际场景识别；应支持用户人脸数据下发及人脸识别双线程同步工作；设备垂直及水平区域人脸识别范围应能设置；人脸在各角度偏转±45°，应能进行人脸识别，并且该识别角度应能支持设置；人脸识别应支持多阈值设置；</w:t>
            </w:r>
          </w:p>
          <w:p w14:paraId="65CFC43B">
            <w:pPr>
              <w:widowControl/>
              <w:spacing w:line="300" w:lineRule="exact"/>
              <w:jc w:val="left"/>
              <w:rPr>
                <w:rFonts w:ascii="宋体" w:hAnsi="宋体" w:cs="宋体"/>
                <w:kern w:val="0"/>
                <w:szCs w:val="21"/>
              </w:rPr>
            </w:pPr>
            <w:r>
              <w:rPr>
                <w:rFonts w:hint="eastAsia" w:ascii="宋体" w:hAnsi="宋体" w:cs="宋体"/>
                <w:kern w:val="0"/>
                <w:szCs w:val="21"/>
              </w:rPr>
              <w:t>6.人脸比对时间应&lt;120ms ；</w:t>
            </w:r>
          </w:p>
          <w:p w14:paraId="3DCA295A">
            <w:pPr>
              <w:widowControl/>
              <w:spacing w:line="3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rPr>
              <w:t>7.★具有打开或关闭知情确认功能；知情确认功能开启时，用户进行身份核验时在设备屏幕展示关于收集个人信息的知情同意书，需要用户同意才能进行核验；知情同意书可由web或平台下发；支持通过屏幕按键选择同意，也支持屏幕上手写签名留底。</w:t>
            </w:r>
            <w:r>
              <w:rPr>
                <w:rFonts w:hint="eastAsia" w:ascii="宋体" w:hAnsi="宋体" w:cs="宋体"/>
                <w:b/>
                <w:bCs/>
                <w:color w:val="000000" w:themeColor="text1"/>
                <w:kern w:val="0"/>
                <w:szCs w:val="21"/>
                <w14:textFill>
                  <w14:solidFill>
                    <w14:schemeClr w14:val="tx1"/>
                  </w14:solidFill>
                </w14:textFill>
              </w:rPr>
              <w:t>（响应文件中需提供承诺函，承诺中标后提供CMA标志的第三方检测机构检测报告报告证明材料给采购人查验）</w:t>
            </w:r>
          </w:p>
          <w:p w14:paraId="5F6AD7FE">
            <w:pPr>
              <w:widowControl/>
              <w:spacing w:line="300" w:lineRule="exact"/>
              <w:jc w:val="left"/>
              <w:rPr>
                <w:rFonts w:ascii="宋体" w:hAnsi="宋体" w:cs="宋体"/>
                <w:kern w:val="0"/>
                <w:szCs w:val="21"/>
              </w:rPr>
            </w:pPr>
            <w:r>
              <w:rPr>
                <w:rFonts w:hint="eastAsia" w:ascii="宋体" w:hAnsi="宋体" w:cs="宋体"/>
                <w:kern w:val="0"/>
                <w:szCs w:val="21"/>
              </w:rPr>
              <w:t>8.刷卡时设备有蜂鸣器提示；支持比对结果语音提示；支持TTS文字转语音功能来自定义认证结果播报；</w:t>
            </w:r>
          </w:p>
          <w:p w14:paraId="55D9AAE6">
            <w:pPr>
              <w:widowControl/>
              <w:spacing w:line="300" w:lineRule="exact"/>
              <w:jc w:val="left"/>
              <w:rPr>
                <w:rFonts w:ascii="宋体" w:hAnsi="宋体" w:cs="宋体"/>
                <w:kern w:val="0"/>
                <w:szCs w:val="21"/>
              </w:rPr>
            </w:pPr>
            <w:r>
              <w:rPr>
                <w:rFonts w:hint="eastAsia" w:ascii="宋体" w:hAnsi="宋体" w:cs="宋体"/>
                <w:kern w:val="0"/>
                <w:szCs w:val="21"/>
              </w:rPr>
              <w:t>9.应支持设备本地比对结果用户信息脱敏显示功能开启/关闭，即隐藏姓名及身份证信息；</w:t>
            </w:r>
          </w:p>
          <w:p w14:paraId="37748FBF">
            <w:pPr>
              <w:widowControl/>
              <w:spacing w:line="300" w:lineRule="exact"/>
              <w:jc w:val="left"/>
              <w:rPr>
                <w:rFonts w:ascii="宋体" w:hAnsi="宋体" w:cs="宋体"/>
                <w:kern w:val="0"/>
                <w:szCs w:val="21"/>
              </w:rPr>
            </w:pPr>
            <w:r>
              <w:rPr>
                <w:rFonts w:hint="eastAsia" w:ascii="宋体" w:hAnsi="宋体" w:cs="宋体"/>
                <w:kern w:val="0"/>
                <w:szCs w:val="21"/>
              </w:rPr>
              <w:t>10.支持外接打印机来打印访客凭条；打印内容可配置（可选：二维码、访客图像、访客姓名、证件号、来访事由、访问区域、来访时间、预计离开时间、接待部门、接待人员、注意事项等）；</w:t>
            </w:r>
          </w:p>
          <w:p w14:paraId="349F0662">
            <w:pPr>
              <w:widowControl/>
              <w:spacing w:line="300" w:lineRule="exact"/>
              <w:jc w:val="left"/>
              <w:rPr>
                <w:rFonts w:ascii="宋体" w:hAnsi="宋体" w:cs="宋体"/>
                <w:kern w:val="0"/>
                <w:szCs w:val="21"/>
              </w:rPr>
            </w:pPr>
            <w:r>
              <w:rPr>
                <w:rFonts w:hint="eastAsia" w:ascii="宋体" w:hAnsi="宋体" w:cs="宋体"/>
                <w:kern w:val="0"/>
                <w:szCs w:val="21"/>
              </w:rPr>
              <w:t>11.应支持防假体攻击功能，对视频、电子照片、打印照片应能防伪，活体检测准确率应≥99.5% ；</w:t>
            </w:r>
          </w:p>
          <w:p w14:paraId="167D4D3E">
            <w:pPr>
              <w:widowControl/>
              <w:spacing w:line="300" w:lineRule="exact"/>
              <w:jc w:val="left"/>
              <w:rPr>
                <w:rFonts w:ascii="宋体" w:hAnsi="宋体" w:cs="宋体"/>
                <w:kern w:val="0"/>
                <w:szCs w:val="21"/>
              </w:rPr>
            </w:pPr>
            <w:r>
              <w:rPr>
                <w:rFonts w:hint="eastAsia" w:ascii="宋体" w:hAnsi="宋体" w:cs="宋体"/>
                <w:kern w:val="0"/>
                <w:szCs w:val="21"/>
              </w:rPr>
              <w:t>12.设备应能离线存储30万条访客记录；设备应能离线存储1万张抓拍照片；能离线存储10万条证件号黑名单 ；</w:t>
            </w:r>
          </w:p>
          <w:p w14:paraId="064C4A38">
            <w:pPr>
              <w:widowControl/>
              <w:spacing w:line="300" w:lineRule="exact"/>
              <w:jc w:val="left"/>
              <w:rPr>
                <w:rFonts w:ascii="宋体" w:hAnsi="宋体" w:cs="宋体"/>
                <w:kern w:val="0"/>
                <w:szCs w:val="21"/>
              </w:rPr>
            </w:pPr>
            <w:r>
              <w:rPr>
                <w:rFonts w:hint="eastAsia" w:ascii="宋体" w:hAnsi="宋体" w:cs="宋体"/>
                <w:kern w:val="0"/>
                <w:szCs w:val="21"/>
              </w:rPr>
              <w:t>13.支持非预约访客登记；支持未带身份证的访客登记；可在人证比对过程中由工作人员跳过自动核验，改为人工核验 ；</w:t>
            </w:r>
          </w:p>
          <w:p w14:paraId="771C3364">
            <w:pPr>
              <w:widowControl/>
              <w:spacing w:line="300" w:lineRule="exact"/>
              <w:jc w:val="left"/>
              <w:rPr>
                <w:rFonts w:ascii="宋体" w:hAnsi="宋体" w:cs="宋体"/>
                <w:kern w:val="0"/>
                <w:szCs w:val="21"/>
              </w:rPr>
            </w:pPr>
            <w:r>
              <w:rPr>
                <w:rFonts w:hint="eastAsia" w:ascii="宋体" w:hAnsi="宋体" w:cs="宋体"/>
                <w:kern w:val="0"/>
                <w:szCs w:val="21"/>
              </w:rPr>
              <w:t>14.当与平台连接中断时，应能进行离线登记和签离；与平台连接后应能上传离线事件；</w:t>
            </w:r>
          </w:p>
          <w:p w14:paraId="76BAEC53">
            <w:pPr>
              <w:widowControl/>
              <w:spacing w:line="300" w:lineRule="exact"/>
              <w:jc w:val="left"/>
              <w:rPr>
                <w:rFonts w:ascii="宋体" w:hAnsi="宋体" w:cs="宋体"/>
                <w:kern w:val="0"/>
                <w:szCs w:val="21"/>
              </w:rPr>
            </w:pPr>
            <w:r>
              <w:rPr>
                <w:rFonts w:hint="eastAsia" w:ascii="宋体" w:hAnsi="宋体" w:cs="宋体"/>
                <w:kern w:val="0"/>
                <w:szCs w:val="21"/>
              </w:rPr>
              <w:t>15.应支持通过WEB进行设备各项功能参数配置；</w:t>
            </w:r>
          </w:p>
          <w:p w14:paraId="2CD7DBC9">
            <w:pPr>
              <w:widowControl/>
              <w:spacing w:line="300" w:lineRule="exact"/>
              <w:jc w:val="left"/>
              <w:rPr>
                <w:rFonts w:ascii="宋体" w:hAnsi="宋体" w:cs="宋体"/>
                <w:kern w:val="0"/>
                <w:szCs w:val="21"/>
              </w:rPr>
            </w:pPr>
            <w:r>
              <w:rPr>
                <w:rFonts w:hint="eastAsia" w:ascii="宋体" w:hAnsi="宋体" w:cs="宋体"/>
                <w:kern w:val="0"/>
                <w:szCs w:val="21"/>
              </w:rPr>
              <w:t>16.设备支持静态二维码识别；二维码识读装置应能对由512个字符生成的二维码进行识读；采用独立二维码识别模块；</w:t>
            </w:r>
          </w:p>
        </w:tc>
        <w:tc>
          <w:tcPr>
            <w:tcW w:w="583" w:type="dxa"/>
            <w:vAlign w:val="center"/>
          </w:tcPr>
          <w:p w14:paraId="4BCE6E19">
            <w:pPr>
              <w:widowControl/>
              <w:spacing w:line="300" w:lineRule="exact"/>
              <w:jc w:val="center"/>
              <w:rPr>
                <w:rFonts w:ascii="宋体" w:hAnsi="宋体" w:cs="宋体"/>
                <w:kern w:val="0"/>
                <w:szCs w:val="21"/>
              </w:rPr>
            </w:pPr>
            <w:r>
              <w:rPr>
                <w:rFonts w:hint="eastAsia" w:ascii="宋体" w:hAnsi="宋体" w:cs="宋体"/>
                <w:kern w:val="0"/>
                <w:szCs w:val="21"/>
              </w:rPr>
              <w:t>1</w:t>
            </w:r>
          </w:p>
        </w:tc>
        <w:tc>
          <w:tcPr>
            <w:tcW w:w="600" w:type="dxa"/>
            <w:vAlign w:val="center"/>
          </w:tcPr>
          <w:p w14:paraId="61663962">
            <w:pPr>
              <w:widowControl/>
              <w:spacing w:line="300" w:lineRule="exact"/>
              <w:jc w:val="center"/>
              <w:rPr>
                <w:rFonts w:ascii="宋体" w:hAnsi="宋体" w:cs="宋体"/>
                <w:kern w:val="0"/>
                <w:szCs w:val="21"/>
              </w:rPr>
            </w:pPr>
            <w:r>
              <w:rPr>
                <w:rFonts w:hint="eastAsia" w:ascii="宋体" w:hAnsi="宋体" w:cs="宋体"/>
                <w:kern w:val="0"/>
                <w:szCs w:val="21"/>
              </w:rPr>
              <w:t>台</w:t>
            </w:r>
          </w:p>
        </w:tc>
        <w:tc>
          <w:tcPr>
            <w:tcW w:w="767" w:type="dxa"/>
            <w:vAlign w:val="center"/>
          </w:tcPr>
          <w:p w14:paraId="62F92F4A">
            <w:pPr>
              <w:widowControl/>
              <w:spacing w:line="300" w:lineRule="exact"/>
              <w:jc w:val="center"/>
              <w:rPr>
                <w:rFonts w:ascii="宋体" w:hAnsi="宋体" w:cs="宋体"/>
                <w:kern w:val="0"/>
                <w:szCs w:val="21"/>
              </w:rPr>
            </w:pPr>
            <w:r>
              <w:rPr>
                <w:rFonts w:hint="eastAsia" w:ascii="宋体" w:hAnsi="宋体" w:cs="宋体"/>
                <w:kern w:val="0"/>
                <w:szCs w:val="21"/>
              </w:rPr>
              <w:t>85</w:t>
            </w:r>
            <w:r>
              <w:rPr>
                <w:rFonts w:ascii="宋体" w:hAnsi="宋体" w:cs="宋体"/>
                <w:kern w:val="0"/>
                <w:szCs w:val="21"/>
              </w:rPr>
              <w:t>00</w:t>
            </w:r>
          </w:p>
        </w:tc>
        <w:tc>
          <w:tcPr>
            <w:tcW w:w="755" w:type="dxa"/>
            <w:vAlign w:val="center"/>
          </w:tcPr>
          <w:p w14:paraId="589A51B0">
            <w:pPr>
              <w:jc w:val="center"/>
              <w:rPr>
                <w:rFonts w:ascii="宋体" w:hAnsi="宋体"/>
                <w:szCs w:val="21"/>
              </w:rPr>
            </w:pPr>
            <w:r>
              <w:rPr>
                <w:rFonts w:hint="eastAsia" w:ascii="宋体" w:hAnsi="宋体" w:cs="宋体"/>
                <w:kern w:val="0"/>
                <w:szCs w:val="21"/>
              </w:rPr>
              <w:t>8500</w:t>
            </w:r>
          </w:p>
        </w:tc>
      </w:tr>
      <w:tr w14:paraId="43E5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68712AAC">
            <w:pPr>
              <w:jc w:val="center"/>
              <w:rPr>
                <w:rFonts w:ascii="宋体" w:hAnsi="宋体"/>
                <w:szCs w:val="21"/>
              </w:rPr>
            </w:pPr>
            <w:r>
              <w:rPr>
                <w:rFonts w:hint="eastAsia" w:ascii="宋体" w:hAnsi="宋体"/>
                <w:szCs w:val="21"/>
              </w:rPr>
              <w:t>4</w:t>
            </w:r>
          </w:p>
        </w:tc>
        <w:tc>
          <w:tcPr>
            <w:tcW w:w="1100" w:type="dxa"/>
            <w:vAlign w:val="center"/>
          </w:tcPr>
          <w:p w14:paraId="6D30F089">
            <w:pPr>
              <w:jc w:val="center"/>
              <w:rPr>
                <w:rFonts w:ascii="宋体" w:hAnsi="宋体"/>
                <w:szCs w:val="21"/>
              </w:rPr>
            </w:pPr>
            <w:r>
              <w:rPr>
                <w:rFonts w:hint="eastAsia" w:ascii="宋体" w:hAnsi="宋体"/>
                <w:szCs w:val="21"/>
              </w:rPr>
              <w:t>安全网关</w:t>
            </w:r>
          </w:p>
        </w:tc>
        <w:tc>
          <w:tcPr>
            <w:tcW w:w="5035" w:type="dxa"/>
          </w:tcPr>
          <w:p w14:paraId="5D62618F">
            <w:pPr>
              <w:rPr>
                <w:rFonts w:ascii="宋体" w:hAnsi="宋体" w:cs="宋体"/>
              </w:rPr>
            </w:pPr>
            <w:r>
              <w:rPr>
                <w:rFonts w:hint="eastAsia" w:ascii="宋体" w:hAnsi="宋体" w:cs="宋体"/>
              </w:rPr>
              <w:t>1.标准1U机箱，多核非X86架构，固化千兆电口≥8个，固化千兆光口≥2个；支持1个硬盘，硬盘容量≥1T；内存≥2GB；</w:t>
            </w:r>
          </w:p>
          <w:p w14:paraId="2C3C10C1">
            <w:pPr>
              <w:rPr>
                <w:rFonts w:ascii="宋体" w:hAnsi="宋体" w:cs="宋体"/>
              </w:rPr>
            </w:pPr>
            <w:r>
              <w:rPr>
                <w:rFonts w:hint="eastAsia" w:ascii="宋体" w:hAnsi="宋体" w:cs="宋体"/>
              </w:rPr>
              <w:t>2.NAT转发双向256字节吞吐率（网络吞吐量）≥900Mbps；</w:t>
            </w:r>
          </w:p>
          <w:p w14:paraId="41DF64AA">
            <w:pPr>
              <w:rPr>
                <w:rFonts w:ascii="宋体" w:hAnsi="宋体" w:cs="宋体"/>
              </w:rPr>
            </w:pPr>
            <w:r>
              <w:rPr>
                <w:rFonts w:hint="eastAsia" w:ascii="宋体" w:hAnsi="宋体" w:cs="宋体"/>
              </w:rPr>
              <w:t>3.★支持应用路由功能，支持基于通讯软件、视频流媒体软件等应用进行路由选择</w:t>
            </w:r>
            <w:r>
              <w:rPr>
                <w:rFonts w:hint="eastAsia" w:ascii="宋体" w:hAnsi="宋体" w:cs="宋体"/>
                <w:b/>
                <w:bCs/>
                <w:kern w:val="0"/>
                <w:szCs w:val="21"/>
              </w:rPr>
              <w:t>（响应文件中需提供功能截图或照片</w:t>
            </w:r>
            <w:r>
              <w:rPr>
                <w:rFonts w:hint="eastAsia" w:ascii="宋体" w:hAnsi="宋体" w:cs="宋体"/>
                <w:b/>
                <w:bCs/>
              </w:rPr>
              <w:t>证明材料</w:t>
            </w:r>
            <w:r>
              <w:rPr>
                <w:rFonts w:hint="eastAsia" w:ascii="宋体" w:hAnsi="宋体" w:cs="宋体"/>
                <w:b/>
                <w:bCs/>
                <w:kern w:val="0"/>
                <w:szCs w:val="21"/>
              </w:rPr>
              <w:t>并加盖供应商公章）</w:t>
            </w:r>
            <w:r>
              <w:rPr>
                <w:rFonts w:hint="eastAsia" w:ascii="宋体" w:hAnsi="宋体" w:cs="宋体"/>
              </w:rPr>
              <w:t>；</w:t>
            </w:r>
          </w:p>
          <w:p w14:paraId="152D3E07">
            <w:pPr>
              <w:rPr>
                <w:rFonts w:ascii="宋体" w:hAnsi="宋体" w:cs="宋体"/>
              </w:rPr>
            </w:pPr>
            <w:r>
              <w:rPr>
                <w:rFonts w:hint="eastAsia" w:ascii="宋体" w:hAnsi="宋体" w:cs="宋体"/>
              </w:rPr>
              <w:t>4.★应用路由效果可通过图表呈现（</w:t>
            </w:r>
            <w:r>
              <w:rPr>
                <w:rFonts w:hint="eastAsia" w:ascii="宋体" w:hAnsi="宋体" w:cs="宋体"/>
                <w:b/>
                <w:bCs/>
              </w:rPr>
              <w:t>响应文件中提供设备配置界面截图</w:t>
            </w:r>
            <w:r>
              <w:rPr>
                <w:rFonts w:hint="eastAsia" w:ascii="宋体" w:hAnsi="宋体" w:cs="宋体"/>
                <w:b/>
                <w:bCs/>
                <w:kern w:val="0"/>
                <w:szCs w:val="21"/>
              </w:rPr>
              <w:t>或照片</w:t>
            </w:r>
            <w:r>
              <w:rPr>
                <w:rFonts w:hint="eastAsia" w:ascii="宋体" w:hAnsi="宋体" w:cs="宋体"/>
                <w:b/>
                <w:bCs/>
              </w:rPr>
              <w:t>证明材料并加盖供应商公章）</w:t>
            </w:r>
            <w:r>
              <w:rPr>
                <w:rFonts w:hint="eastAsia" w:ascii="宋体" w:hAnsi="宋体" w:cs="宋体"/>
              </w:rPr>
              <w:t>；</w:t>
            </w:r>
          </w:p>
          <w:p w14:paraId="758AB960">
            <w:pPr>
              <w:rPr>
                <w:rFonts w:ascii="宋体" w:hAnsi="宋体" w:cs="宋体"/>
              </w:rPr>
            </w:pPr>
            <w:r>
              <w:rPr>
                <w:rFonts w:hint="eastAsia" w:ascii="宋体" w:hAnsi="宋体" w:cs="宋体"/>
              </w:rPr>
              <w:t>5.支持智能DNS，无需内部服务器做任何修改情况下，为外网用户提供一个与该用户相同运营商的链路对内访问；</w:t>
            </w:r>
          </w:p>
          <w:p w14:paraId="62FDC931">
            <w:pPr>
              <w:rPr>
                <w:rFonts w:ascii="宋体" w:hAnsi="宋体" w:cs="宋体"/>
              </w:rPr>
            </w:pPr>
            <w:r>
              <w:rPr>
                <w:rFonts w:hint="eastAsia" w:ascii="宋体" w:hAnsi="宋体" w:cs="宋体"/>
              </w:rPr>
              <w:t>6.★DHCP支持IPAM，支持显示地址池使用情况，包含地址数、地址总数、已分配地址数、使用率，支持IP安全绑定情况显示</w:t>
            </w:r>
            <w:r>
              <w:rPr>
                <w:rFonts w:hint="eastAsia" w:ascii="宋体" w:hAnsi="宋体" w:cs="宋体"/>
                <w:b/>
                <w:bCs/>
              </w:rPr>
              <w:t>（响应文件中提供设备配置界面截图或照片证明材料并加盖供应商公章）；</w:t>
            </w:r>
          </w:p>
          <w:p w14:paraId="2648E880">
            <w:pPr>
              <w:rPr>
                <w:rFonts w:ascii="宋体" w:hAnsi="宋体" w:cs="宋体"/>
              </w:rPr>
            </w:pPr>
            <w:r>
              <w:rPr>
                <w:rFonts w:hint="eastAsia" w:ascii="宋体" w:hAnsi="宋体" w:cs="宋体"/>
              </w:rPr>
              <w:t>7.支持IP地址智能管理图形界面显示，可显示固态在线IP、固态离线IP、动态分配IP、接口IP、排除IP、冲突IP，无需安装任何客户端，支持IP地址绑定，可单</w:t>
            </w:r>
            <w:r>
              <w:rPr>
                <w:rFonts w:hint="eastAsia" w:ascii="宋体" w:hAnsi="宋体" w:cs="宋体"/>
                <w:color w:val="000000" w:themeColor="text1"/>
                <w14:textFill>
                  <w14:solidFill>
                    <w14:schemeClr w14:val="tx1"/>
                  </w14:solidFill>
                </w14:textFill>
              </w:rPr>
              <w:t>MAC绑定</w:t>
            </w:r>
            <w:r>
              <w:rPr>
                <w:rFonts w:hint="eastAsia" w:ascii="宋体" w:hAnsi="宋体" w:cs="宋体"/>
              </w:rPr>
              <w:t>、IP+主机名绑定、IP+MAC绑定、IP+MAC+主机名绑定、IP+主机名+接入设备绑定、IP+MAC+主机名+接入设备绑定；</w:t>
            </w:r>
          </w:p>
          <w:p w14:paraId="590DAC7C">
            <w:pPr>
              <w:rPr>
                <w:rFonts w:ascii="宋体" w:hAnsi="宋体" w:cs="宋体"/>
              </w:rPr>
            </w:pPr>
            <w:r>
              <w:rPr>
                <w:rFonts w:hint="eastAsia" w:ascii="宋体" w:hAnsi="宋体" w:cs="宋体"/>
              </w:rPr>
              <w:t>8.支持终端迁移告警，可显示迁移终端IP及MAC，发生时间，迁移前后接入设备IP及MAC，迁移前后VLAN及端口；</w:t>
            </w:r>
          </w:p>
          <w:p w14:paraId="0BE32AD4">
            <w:pPr>
              <w:rPr>
                <w:rFonts w:ascii="宋体" w:hAnsi="宋体" w:cs="宋体"/>
              </w:rPr>
            </w:pPr>
            <w:r>
              <w:rPr>
                <w:rFonts w:hint="eastAsia" w:ascii="宋体" w:hAnsi="宋体" w:cs="宋体"/>
              </w:rPr>
              <w:t>9.支持VPN内流量的监控；</w:t>
            </w:r>
          </w:p>
          <w:p w14:paraId="0E1E2FD3">
            <w:pPr>
              <w:rPr>
                <w:rFonts w:ascii="宋体" w:hAnsi="宋体" w:cs="宋体"/>
              </w:rPr>
            </w:pPr>
            <w:r>
              <w:rPr>
                <w:rFonts w:hint="eastAsia" w:ascii="宋体" w:hAnsi="宋体" w:cs="宋体"/>
              </w:rPr>
              <w:t>10.支持安全域：支持基于IP的安全域划分，支持基于逻辑接口的安全域划分；</w:t>
            </w:r>
          </w:p>
          <w:p w14:paraId="3436EE1C">
            <w:pPr>
              <w:rPr>
                <w:rFonts w:ascii="宋体" w:hAnsi="宋体" w:cs="宋体"/>
              </w:rPr>
            </w:pPr>
            <w:r>
              <w:rPr>
                <w:rFonts w:hint="eastAsia" w:ascii="宋体" w:hAnsi="宋体" w:cs="宋体"/>
              </w:rPr>
              <w:t>11.支持WINDOWS、安卓、MAC、IOS操作系统SSLVPN客户端软件；</w:t>
            </w:r>
          </w:p>
          <w:p w14:paraId="5D82FEE7">
            <w:pPr>
              <w:rPr>
                <w:rFonts w:ascii="宋体" w:hAnsi="宋体" w:cs="宋体"/>
              </w:rPr>
            </w:pPr>
            <w:r>
              <w:rPr>
                <w:rFonts w:hint="eastAsia" w:ascii="宋体" w:hAnsi="宋体" w:cs="宋体"/>
              </w:rPr>
              <w:t>12.ipsec vpn建立完成后能够自动生成拓扑图，便于监控各级单位设备在线状态；</w:t>
            </w:r>
          </w:p>
          <w:p w14:paraId="30CDAC5A">
            <w:pPr>
              <w:rPr>
                <w:rFonts w:ascii="宋体" w:hAnsi="宋体" w:cs="宋体"/>
                <w:b/>
                <w:bCs/>
              </w:rPr>
            </w:pPr>
            <w:r>
              <w:rPr>
                <w:rFonts w:hint="eastAsia" w:ascii="宋体" w:hAnsi="宋体" w:cs="宋体"/>
              </w:rPr>
              <w:t>13.★可设置无线用户黑白名单</w:t>
            </w:r>
            <w:r>
              <w:rPr>
                <w:rFonts w:hint="eastAsia" w:ascii="宋体" w:hAnsi="宋体" w:cs="宋体"/>
                <w:b/>
                <w:bCs/>
              </w:rPr>
              <w:t>（响应文件中提供截图或照片证明材料并加盖供应商公章）；</w:t>
            </w:r>
          </w:p>
          <w:p w14:paraId="01465659">
            <w:pPr>
              <w:rPr>
                <w:rFonts w:ascii="宋体" w:hAnsi="宋体" w:cs="宋体"/>
              </w:rPr>
            </w:pPr>
            <w:r>
              <w:rPr>
                <w:rFonts w:hint="eastAsia" w:ascii="宋体" w:hAnsi="宋体" w:cs="宋体"/>
              </w:rPr>
              <w:t>14.支持内网二层用户隔离；</w:t>
            </w:r>
          </w:p>
          <w:p w14:paraId="3DBB8190">
            <w:pPr>
              <w:rPr>
                <w:rFonts w:ascii="宋体" w:hAnsi="宋体" w:cs="宋体"/>
                <w:b/>
                <w:bCs/>
              </w:rPr>
            </w:pPr>
            <w:r>
              <w:rPr>
                <w:rFonts w:hint="eastAsia" w:ascii="宋体" w:hAnsi="宋体" w:cs="宋体"/>
                <w:b/>
                <w:bCs/>
              </w:rPr>
              <w:t>配置要求：</w:t>
            </w:r>
          </w:p>
          <w:p w14:paraId="019768E2">
            <w:pPr>
              <w:rPr>
                <w:rFonts w:ascii="宋体" w:hAnsi="宋体" w:cs="宋体"/>
                <w:szCs w:val="21"/>
              </w:rPr>
            </w:pPr>
            <w:r>
              <w:rPr>
                <w:rFonts w:hint="eastAsia" w:ascii="宋体" w:hAnsi="宋体" w:cs="宋体"/>
                <w:b/>
                <w:bCs/>
              </w:rPr>
              <w:t>1.配置100个SSL VPN接入授权许可，提供100路Ipsec VPN接入授权，URL数据库、应用分类库、地址库、内容审计特征库、QQ插件库支持至少10年免费升级。</w:t>
            </w:r>
          </w:p>
        </w:tc>
        <w:tc>
          <w:tcPr>
            <w:tcW w:w="583" w:type="dxa"/>
            <w:vAlign w:val="center"/>
          </w:tcPr>
          <w:p w14:paraId="1258D072">
            <w:pPr>
              <w:jc w:val="center"/>
              <w:rPr>
                <w:rFonts w:ascii="宋体" w:hAnsi="宋体"/>
                <w:szCs w:val="21"/>
              </w:rPr>
            </w:pPr>
            <w:r>
              <w:rPr>
                <w:rFonts w:hint="eastAsia" w:ascii="宋体" w:hAnsi="宋体"/>
                <w:szCs w:val="21"/>
              </w:rPr>
              <w:t>1</w:t>
            </w:r>
          </w:p>
        </w:tc>
        <w:tc>
          <w:tcPr>
            <w:tcW w:w="600" w:type="dxa"/>
            <w:vAlign w:val="center"/>
          </w:tcPr>
          <w:p w14:paraId="75A6005C">
            <w:pPr>
              <w:jc w:val="center"/>
              <w:rPr>
                <w:rFonts w:ascii="宋体" w:hAnsi="宋体"/>
                <w:szCs w:val="21"/>
              </w:rPr>
            </w:pPr>
            <w:r>
              <w:rPr>
                <w:rFonts w:hint="eastAsia" w:ascii="宋体" w:hAnsi="宋体"/>
                <w:szCs w:val="21"/>
              </w:rPr>
              <w:t>台</w:t>
            </w:r>
          </w:p>
        </w:tc>
        <w:tc>
          <w:tcPr>
            <w:tcW w:w="767" w:type="dxa"/>
            <w:vAlign w:val="center"/>
          </w:tcPr>
          <w:p w14:paraId="1F96E889">
            <w:pPr>
              <w:jc w:val="center"/>
              <w:rPr>
                <w:rFonts w:ascii="宋体" w:hAnsi="宋体"/>
                <w:szCs w:val="21"/>
              </w:rPr>
            </w:pPr>
            <w:r>
              <w:rPr>
                <w:rFonts w:hint="eastAsia" w:ascii="宋体" w:hAnsi="宋体"/>
                <w:szCs w:val="21"/>
              </w:rPr>
              <w:t>9</w:t>
            </w:r>
            <w:r>
              <w:rPr>
                <w:rFonts w:ascii="宋体" w:hAnsi="宋体"/>
                <w:szCs w:val="21"/>
              </w:rPr>
              <w:t>000</w:t>
            </w:r>
          </w:p>
        </w:tc>
        <w:tc>
          <w:tcPr>
            <w:tcW w:w="755" w:type="dxa"/>
            <w:vAlign w:val="center"/>
          </w:tcPr>
          <w:p w14:paraId="189359FF">
            <w:pPr>
              <w:jc w:val="center"/>
              <w:rPr>
                <w:rFonts w:ascii="宋体" w:hAnsi="宋体"/>
                <w:szCs w:val="21"/>
              </w:rPr>
            </w:pPr>
            <w:r>
              <w:rPr>
                <w:rFonts w:hint="eastAsia" w:ascii="宋体" w:hAnsi="宋体"/>
                <w:szCs w:val="21"/>
              </w:rPr>
              <w:t>9</w:t>
            </w:r>
            <w:r>
              <w:rPr>
                <w:rFonts w:ascii="宋体" w:hAnsi="宋体"/>
                <w:szCs w:val="21"/>
              </w:rPr>
              <w:t>000</w:t>
            </w:r>
          </w:p>
        </w:tc>
      </w:tr>
      <w:tr w14:paraId="48C1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664C83BF">
            <w:pPr>
              <w:jc w:val="center"/>
              <w:rPr>
                <w:rFonts w:ascii="宋体" w:hAnsi="宋体"/>
                <w:szCs w:val="21"/>
              </w:rPr>
            </w:pPr>
            <w:r>
              <w:rPr>
                <w:rFonts w:hint="eastAsia" w:ascii="宋体" w:hAnsi="宋体"/>
                <w:szCs w:val="21"/>
              </w:rPr>
              <w:t>5</w:t>
            </w:r>
          </w:p>
        </w:tc>
        <w:tc>
          <w:tcPr>
            <w:tcW w:w="1100" w:type="dxa"/>
            <w:vAlign w:val="center"/>
          </w:tcPr>
          <w:p w14:paraId="1111941D">
            <w:pPr>
              <w:jc w:val="center"/>
              <w:rPr>
                <w:rFonts w:ascii="宋体" w:hAnsi="宋体"/>
                <w:szCs w:val="21"/>
              </w:rPr>
            </w:pPr>
            <w:r>
              <w:rPr>
                <w:rFonts w:hint="eastAsia" w:ascii="宋体" w:hAnsi="宋体"/>
                <w:szCs w:val="21"/>
              </w:rPr>
              <w:t>一体化道闸</w:t>
            </w:r>
          </w:p>
        </w:tc>
        <w:tc>
          <w:tcPr>
            <w:tcW w:w="5035" w:type="dxa"/>
          </w:tcPr>
          <w:p w14:paraId="1941FB59">
            <w:pPr>
              <w:rPr>
                <w:rFonts w:ascii="宋体" w:hAnsi="宋体" w:cs="宋体"/>
              </w:rPr>
            </w:pPr>
            <w:r>
              <w:rPr>
                <w:rFonts w:hint="eastAsia" w:ascii="宋体" w:hAnsi="宋体" w:cs="宋体"/>
              </w:rPr>
              <w:t>1.高度集成：快速道闸、智能抓拍机、补光灯、LED屏/LCD屏、防砸雷达、求助按钮、语音播报、语音对讲于一体；</w:t>
            </w:r>
          </w:p>
          <w:p w14:paraId="44650F19">
            <w:pPr>
              <w:rPr>
                <w:rFonts w:ascii="宋体" w:hAnsi="宋体" w:cs="宋体"/>
              </w:rPr>
            </w:pPr>
            <w:r>
              <w:rPr>
                <w:rFonts w:hint="eastAsia" w:ascii="宋体" w:hAnsi="宋体" w:cs="宋体"/>
              </w:rPr>
              <w:t>2.入场功能检查:车辆驶至入口一体化道闸前，设备根据视频检测感应到车辆; 设备自身具备车牌识别功能，识别到车辆后自动抬杆放行；</w:t>
            </w:r>
          </w:p>
          <w:p w14:paraId="7AAF91CC">
            <w:pPr>
              <w:rPr>
                <w:rFonts w:ascii="宋体" w:hAnsi="宋体" w:cs="宋体"/>
              </w:rPr>
            </w:pPr>
            <w:r>
              <w:rPr>
                <w:rFonts w:hint="eastAsia" w:ascii="宋体" w:hAnsi="宋体" w:cs="宋体"/>
              </w:rPr>
              <w:t>3.最低照度试验 ：0.002lx(F=1.5， AGC ON，彩色模式)，能基本分辨被摄目标的轮廓特征和色彩。 0.0002lx(F=15，AGC ON，黑白模式)， 能基本分辨被摄目标的轮廓特征；</w:t>
            </w:r>
          </w:p>
          <w:p w14:paraId="7592B863">
            <w:pPr>
              <w:rPr>
                <w:rFonts w:ascii="宋体" w:hAnsi="宋体" w:cs="宋体"/>
              </w:rPr>
            </w:pPr>
            <w:r>
              <w:rPr>
                <w:rFonts w:hint="eastAsia" w:ascii="宋体" w:hAnsi="宋体" w:cs="宋体"/>
              </w:rPr>
              <w:t>4.设备完成禁行/放行状态转换的单程运行时间:2.0m直杆单程运行时间: 禁行状态转换至放行状态:≤0.9s ;放行状态转换至禁行状态:≤0.9s；</w:t>
            </w:r>
          </w:p>
          <w:p w14:paraId="319887D3">
            <w:pPr>
              <w:rPr>
                <w:rFonts w:ascii="宋体" w:hAnsi="宋体" w:cs="宋体"/>
              </w:rPr>
            </w:pPr>
            <w:r>
              <w:rPr>
                <w:rFonts w:hint="eastAsia" w:ascii="宋体" w:hAnsi="宋体" w:cs="宋体"/>
              </w:rPr>
              <w:t>5.脱机运行功能检查 系统应支持断网脱机运行，脱机情况下，授权用户单数据应能存储20万条，过车事件记录数100万条；</w:t>
            </w:r>
          </w:p>
          <w:p w14:paraId="4539C6FE">
            <w:pPr>
              <w:rPr>
                <w:rFonts w:ascii="宋体" w:hAnsi="宋体" w:cs="宋体"/>
              </w:rPr>
            </w:pPr>
            <w:r>
              <w:rPr>
                <w:rFonts w:hint="eastAsia" w:ascii="宋体" w:hAnsi="宋体" w:cs="宋体"/>
              </w:rPr>
              <w:t>6.应支持二维码显示信息功能，通过手机扫码时可准确读取二维码信息，扫码距离为4m；</w:t>
            </w:r>
          </w:p>
          <w:p w14:paraId="6FD6191B">
            <w:pPr>
              <w:rPr>
                <w:rFonts w:ascii="宋体" w:hAnsi="宋体" w:cs="宋体"/>
              </w:rPr>
            </w:pPr>
            <w:r>
              <w:rPr>
                <w:rFonts w:hint="eastAsia" w:ascii="宋体" w:hAnsi="宋体" w:cs="宋体"/>
              </w:rPr>
              <w:t>7.当网络断开时，支持将抓拍图存储于样机内置TF卡中，当网络恢复时，可上传抓拍图片至PC 本地。支持TF卡自动识别自动格式化和TF卡抓拍图片自动覆盖功能；</w:t>
            </w:r>
          </w:p>
          <w:p w14:paraId="644441EC">
            <w:pPr>
              <w:rPr>
                <w:rFonts w:ascii="宋体" w:hAnsi="宋体" w:cs="宋体"/>
                <w:color w:val="FF0000"/>
              </w:rPr>
            </w:pPr>
            <w:r>
              <w:rPr>
                <w:rFonts w:hint="eastAsia" w:ascii="宋体" w:hAnsi="宋体" w:cs="宋体"/>
              </w:rPr>
              <w:t>8.★异常车牌识别功能检查：支持对污损以及遮挡面积不超过1/3的车牌进行检测和识别。</w:t>
            </w:r>
            <w:r>
              <w:rPr>
                <w:rFonts w:hint="eastAsia" w:ascii="宋体" w:hAnsi="宋体" w:cs="宋体"/>
                <w:b/>
                <w:bCs/>
                <w:color w:val="000000" w:themeColor="text1"/>
                <w:kern w:val="0"/>
                <w:szCs w:val="21"/>
                <w14:textFill>
                  <w14:solidFill>
                    <w14:schemeClr w14:val="tx1"/>
                  </w14:solidFill>
                </w14:textFill>
              </w:rPr>
              <w:t>（响应文件中需提供承诺函，承诺中标后提供CMA标志的第三方检测机构检测报告报告证明材料给采购人查验）</w:t>
            </w:r>
          </w:p>
          <w:p w14:paraId="473061B7">
            <w:pPr>
              <w:rPr>
                <w:rFonts w:ascii="宋体" w:hAnsi="宋体" w:cs="宋体"/>
              </w:rPr>
            </w:pPr>
            <w:r>
              <w:rPr>
                <w:rFonts w:hint="eastAsia" w:ascii="宋体" w:hAnsi="宋体" w:cs="宋体"/>
              </w:rPr>
              <w:t>9.机动车行进方向识别功能检查：支持识别机动车行进方向，行进方向包括来向、去向；</w:t>
            </w:r>
          </w:p>
          <w:p w14:paraId="43F7B4C6">
            <w:pPr>
              <w:rPr>
                <w:rFonts w:ascii="宋体" w:hAnsi="宋体" w:cs="宋体"/>
              </w:rPr>
            </w:pPr>
            <w:r>
              <w:rPr>
                <w:rFonts w:hint="eastAsia" w:ascii="宋体" w:hAnsi="宋体" w:cs="宋体"/>
              </w:rPr>
              <w:t>10.过车放行响应时间试验：车牌触及检车线至样机发出抬杆信号的响应时间 ≤1s；</w:t>
            </w:r>
          </w:p>
          <w:p w14:paraId="1F4A4320">
            <w:pPr>
              <w:rPr>
                <w:rFonts w:ascii="宋体" w:hAnsi="宋体" w:cs="宋体"/>
              </w:rPr>
            </w:pPr>
            <w:r>
              <w:rPr>
                <w:rFonts w:hint="eastAsia" w:ascii="宋体" w:hAnsi="宋体" w:cs="宋体"/>
              </w:rPr>
              <w:t>11.虚假车牌过滤功能检查 :支持对打印车牌、单独车牌照片和单独车牌等虚假车牌进行过滤；</w:t>
            </w:r>
          </w:p>
          <w:p w14:paraId="24B6DA34">
            <w:pPr>
              <w:rPr>
                <w:rFonts w:ascii="宋体" w:hAnsi="宋体" w:cs="宋体"/>
              </w:rPr>
            </w:pPr>
            <w:r>
              <w:rPr>
                <w:rFonts w:hint="eastAsia" w:ascii="宋体" w:hAnsi="宋体" w:cs="宋体"/>
              </w:rPr>
              <w:t>12.大车锁闸功能检查 :支持大车锁闸功能，当视频判断为大货车过车时道闸不落杆；</w:t>
            </w:r>
          </w:p>
          <w:p w14:paraId="729C25B5">
            <w:pPr>
              <w:rPr>
                <w:rFonts w:ascii="宋体" w:hAnsi="宋体" w:cs="宋体"/>
              </w:rPr>
            </w:pPr>
            <w:r>
              <w:rPr>
                <w:rFonts w:hint="eastAsia" w:ascii="宋体" w:hAnsi="宋体" w:cs="宋体"/>
              </w:rPr>
              <w:t>13.连续过车功能检查 :支持连续过车模式，连续过车时道闸不落杆；</w:t>
            </w:r>
          </w:p>
          <w:p w14:paraId="0FA6CA70">
            <w:pPr>
              <w:rPr>
                <w:rFonts w:ascii="宋体" w:hAnsi="宋体" w:cs="宋体"/>
              </w:rPr>
            </w:pPr>
            <w:r>
              <w:rPr>
                <w:rFonts w:hint="eastAsia" w:ascii="宋体" w:hAnsi="宋体" w:cs="宋体"/>
              </w:rPr>
              <w:t>14.检查宽动态设置:具有宽动态设置选项，并可通过菜单设置功能开启/关闭；</w:t>
            </w:r>
          </w:p>
          <w:p w14:paraId="157E2D18">
            <w:pPr>
              <w:rPr>
                <w:rFonts w:ascii="宋体" w:hAnsi="宋体" w:cs="宋体"/>
              </w:rPr>
            </w:pPr>
            <w:r>
              <w:rPr>
                <w:rFonts w:hint="eastAsia" w:ascii="宋体" w:hAnsi="宋体" w:cs="宋体"/>
              </w:rPr>
              <w:t>15.LCD屏幕功能检查：采用≥21.5英寸显示屏，可支持过车信息显示自定义无牌车扫码进出、支持二维码显示、支持图片视频广告播放。</w:t>
            </w:r>
          </w:p>
          <w:p w14:paraId="52C67721">
            <w:pPr>
              <w:rPr>
                <w:rFonts w:ascii="宋体" w:hAnsi="宋体" w:cs="宋体"/>
              </w:rPr>
            </w:pPr>
            <w:r>
              <w:rPr>
                <w:rFonts w:hint="eastAsia" w:ascii="宋体" w:hAnsi="宋体" w:cs="宋体"/>
              </w:rPr>
              <w:t>16.装配质量要求检查：各紧固件紧锁到位;各相对运动机构之间(平衡臂、底板、拉簧等)无相互干涉;起落杆限位准确，落杆水平，起杆垂直，误差±3°以内；</w:t>
            </w:r>
          </w:p>
          <w:p w14:paraId="7E612620">
            <w:pPr>
              <w:rPr>
                <w:rFonts w:ascii="宋体" w:hAnsi="宋体" w:cs="宋体"/>
              </w:rPr>
            </w:pPr>
            <w:r>
              <w:rPr>
                <w:rFonts w:hint="eastAsia" w:ascii="宋体" w:hAnsi="宋体" w:cs="宋体"/>
              </w:rPr>
              <w:t>17.遥控距离检查 ：空旷场地遥控距离≥30m；</w:t>
            </w:r>
          </w:p>
          <w:p w14:paraId="0D6551E3">
            <w:pPr>
              <w:rPr>
                <w:rFonts w:ascii="宋体" w:hAnsi="宋体" w:cs="宋体"/>
              </w:rPr>
            </w:pPr>
            <w:r>
              <w:rPr>
                <w:rFonts w:hint="eastAsia" w:ascii="宋体" w:hAnsi="宋体" w:cs="宋体"/>
              </w:rPr>
              <w:t>18.放行计数控制功能检查 ：设备具有放行计数功能，当收到的开闸指令计数与过车计数不一致时，控制道闸处于放行状态，当计数相等且防砸线圈无车时，控制道闸落杆；</w:t>
            </w:r>
          </w:p>
          <w:p w14:paraId="17062DD3">
            <w:pPr>
              <w:rPr>
                <w:rFonts w:ascii="宋体" w:hAnsi="宋体" w:cs="宋体"/>
                <w:color w:val="000000" w:themeColor="text1"/>
                <w14:textFill>
                  <w14:solidFill>
                    <w14:schemeClr w14:val="tx1"/>
                  </w14:solidFill>
                </w14:textFill>
              </w:rPr>
            </w:pPr>
            <w:r>
              <w:rPr>
                <w:rFonts w:hint="eastAsia" w:ascii="宋体" w:hAnsi="宋体" w:cs="宋体"/>
              </w:rPr>
              <w:t>19.★自动落杆功能检查 ：道闸同时满足开到位状态、无其他控制开信号、计时到设定时间、防砸线圈上无车条件时，道闸会自动落杆</w:t>
            </w:r>
            <w:r>
              <w:rPr>
                <w:rFonts w:hint="eastAsia" w:ascii="宋体" w:hAnsi="宋体" w:cs="宋体"/>
                <w:b/>
                <w:bCs/>
                <w:color w:val="000000" w:themeColor="text1"/>
                <w:kern w:val="0"/>
                <w:szCs w:val="21"/>
                <w14:textFill>
                  <w14:solidFill>
                    <w14:schemeClr w14:val="tx1"/>
                  </w14:solidFill>
                </w14:textFill>
              </w:rPr>
              <w:t>（响应文件中需提供承诺函，承诺中标后提供CMA标志的第三方检测机构检测报告报告证明材料给采购人查验）</w:t>
            </w:r>
          </w:p>
          <w:p w14:paraId="131BBD6C">
            <w:pPr>
              <w:rPr>
                <w:rFonts w:ascii="宋体" w:hAnsi="宋体" w:cs="宋体"/>
              </w:rPr>
            </w:pPr>
            <w:r>
              <w:rPr>
                <w:rFonts w:hint="eastAsia" w:ascii="宋体" w:hAnsi="宋体" w:cs="宋体"/>
              </w:rPr>
              <w:t>20.遥控器锁闸功能检查：通过遥控器可以使道闸处于常开状态，过车或者其他控制关信号，道闸不会落杆。只有通过遥控器解锁后，道闸可以通过其他控制方式落杆；</w:t>
            </w:r>
          </w:p>
          <w:p w14:paraId="1AE57A5E">
            <w:pPr>
              <w:rPr>
                <w:rFonts w:ascii="宋体" w:hAnsi="宋体" w:cs="宋体"/>
              </w:rPr>
            </w:pPr>
            <w:r>
              <w:rPr>
                <w:rFonts w:hint="eastAsia" w:ascii="宋体" w:hAnsi="宋体" w:cs="宋体"/>
              </w:rPr>
              <w:t>21.应急放行功能检查 ：断电后可通过工具手动操作使道闸处于开闸状态；支持断电自动抬杆；</w:t>
            </w:r>
          </w:p>
          <w:p w14:paraId="5B7447FE">
            <w:pPr>
              <w:rPr>
                <w:rFonts w:ascii="宋体" w:hAnsi="宋体" w:cs="宋体"/>
              </w:rPr>
            </w:pPr>
            <w:r>
              <w:rPr>
                <w:rFonts w:hint="eastAsia" w:ascii="宋体" w:hAnsi="宋体" w:cs="宋体"/>
              </w:rPr>
              <w:t>22.优先起杆功能检查 ：道闸落杆过程中，收到开闸信号，会立即抬杆并运行到开到位状态; 道闸开闸过程中，按关按键和停按键应不响应；</w:t>
            </w:r>
          </w:p>
          <w:p w14:paraId="5F8BC604">
            <w:pPr>
              <w:rPr>
                <w:rFonts w:ascii="宋体" w:hAnsi="宋体" w:cs="宋体"/>
              </w:rPr>
            </w:pPr>
            <w:r>
              <w:rPr>
                <w:rFonts w:hint="eastAsia" w:ascii="宋体" w:hAnsi="宋体" w:cs="宋体"/>
              </w:rPr>
              <w:t>23.遇阻反弹功能检查 ：设备具有遇阻反弹功能，当闸杆下落时，遇到物体阻挡将立即开闸；</w:t>
            </w:r>
          </w:p>
          <w:p w14:paraId="44DB0154">
            <w:pPr>
              <w:rPr>
                <w:rFonts w:ascii="宋体" w:hAnsi="宋体" w:cs="宋体"/>
              </w:rPr>
            </w:pPr>
            <w:r>
              <w:rPr>
                <w:rFonts w:hint="eastAsia" w:ascii="宋体" w:hAnsi="宋体" w:cs="宋体"/>
              </w:rPr>
              <w:t>24.采用直流电机控制，可以实现抬落杆时间调整，抬落杆速度默认三档可调；</w:t>
            </w:r>
          </w:p>
          <w:p w14:paraId="60BF36C5">
            <w:pPr>
              <w:rPr>
                <w:rFonts w:ascii="宋体" w:hAnsi="宋体" w:cs="宋体"/>
              </w:rPr>
            </w:pPr>
            <w:r>
              <w:rPr>
                <w:rFonts w:hint="eastAsia" w:ascii="宋体" w:hAnsi="宋体" w:cs="宋体"/>
              </w:rPr>
              <w:t>25.道闸上电后，会自动寻找开关到位位置；</w:t>
            </w:r>
          </w:p>
          <w:p w14:paraId="6CA33FB6">
            <w:pPr>
              <w:rPr>
                <w:rFonts w:ascii="宋体" w:hAnsi="宋体" w:cs="宋体"/>
              </w:rPr>
            </w:pPr>
            <w:r>
              <w:rPr>
                <w:rFonts w:hint="eastAsia" w:ascii="宋体" w:hAnsi="宋体" w:cs="宋体"/>
              </w:rPr>
              <w:t>26.可通过数码管显示当前运行状态，故障时显示故障代码，并可显示参数设置菜单；</w:t>
            </w:r>
          </w:p>
          <w:p w14:paraId="222FDA2E">
            <w:pPr>
              <w:rPr>
                <w:rFonts w:ascii="宋体" w:hAnsi="宋体" w:cs="宋体"/>
              </w:rPr>
            </w:pPr>
            <w:r>
              <w:rPr>
                <w:rFonts w:hint="eastAsia" w:ascii="宋体" w:hAnsi="宋体" w:cs="宋体"/>
              </w:rPr>
              <w:t>27.道闸同时满足开到位状态、无其他控制开信号、计时到设定时间、防砸线圈上无车条件时，道闸会自动落杆。</w:t>
            </w:r>
          </w:p>
        </w:tc>
        <w:tc>
          <w:tcPr>
            <w:tcW w:w="583" w:type="dxa"/>
            <w:vAlign w:val="center"/>
          </w:tcPr>
          <w:p w14:paraId="1945A553">
            <w:pPr>
              <w:jc w:val="center"/>
              <w:rPr>
                <w:rFonts w:ascii="宋体" w:hAnsi="宋体"/>
                <w:szCs w:val="21"/>
              </w:rPr>
            </w:pPr>
            <w:r>
              <w:rPr>
                <w:rFonts w:hint="eastAsia" w:ascii="宋体" w:hAnsi="宋体"/>
                <w:szCs w:val="21"/>
              </w:rPr>
              <w:t>2</w:t>
            </w:r>
          </w:p>
        </w:tc>
        <w:tc>
          <w:tcPr>
            <w:tcW w:w="600" w:type="dxa"/>
            <w:vAlign w:val="center"/>
          </w:tcPr>
          <w:p w14:paraId="1CF9671C">
            <w:pPr>
              <w:jc w:val="center"/>
              <w:rPr>
                <w:rFonts w:ascii="宋体" w:hAnsi="宋体"/>
                <w:szCs w:val="21"/>
              </w:rPr>
            </w:pPr>
            <w:r>
              <w:rPr>
                <w:rFonts w:hint="eastAsia" w:ascii="宋体" w:hAnsi="宋体"/>
                <w:szCs w:val="21"/>
              </w:rPr>
              <w:t>台</w:t>
            </w:r>
          </w:p>
        </w:tc>
        <w:tc>
          <w:tcPr>
            <w:tcW w:w="767" w:type="dxa"/>
            <w:vAlign w:val="center"/>
          </w:tcPr>
          <w:p w14:paraId="5730FF0C">
            <w:pPr>
              <w:jc w:val="center"/>
              <w:rPr>
                <w:rFonts w:ascii="宋体" w:hAnsi="宋体"/>
                <w:szCs w:val="21"/>
              </w:rPr>
            </w:pPr>
            <w:r>
              <w:rPr>
                <w:rFonts w:hint="eastAsia" w:ascii="宋体" w:hAnsi="宋体"/>
                <w:szCs w:val="21"/>
              </w:rPr>
              <w:t>15000</w:t>
            </w:r>
          </w:p>
        </w:tc>
        <w:tc>
          <w:tcPr>
            <w:tcW w:w="755" w:type="dxa"/>
            <w:vAlign w:val="center"/>
          </w:tcPr>
          <w:p w14:paraId="78828E67">
            <w:pPr>
              <w:jc w:val="center"/>
              <w:rPr>
                <w:rFonts w:ascii="宋体" w:hAnsi="宋体"/>
                <w:szCs w:val="21"/>
              </w:rPr>
            </w:pPr>
            <w:r>
              <w:rPr>
                <w:rFonts w:hint="eastAsia" w:ascii="宋体" w:hAnsi="宋体"/>
                <w:szCs w:val="21"/>
              </w:rPr>
              <w:t>30000</w:t>
            </w:r>
          </w:p>
        </w:tc>
      </w:tr>
      <w:tr w14:paraId="0EC6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14:paraId="0592163F">
            <w:pPr>
              <w:jc w:val="center"/>
              <w:rPr>
                <w:rFonts w:ascii="宋体" w:hAnsi="宋体"/>
                <w:szCs w:val="21"/>
              </w:rPr>
            </w:pPr>
            <w:r>
              <w:rPr>
                <w:rFonts w:hint="eastAsia" w:ascii="宋体" w:hAnsi="宋体"/>
                <w:szCs w:val="21"/>
              </w:rPr>
              <w:t>6</w:t>
            </w:r>
          </w:p>
        </w:tc>
        <w:tc>
          <w:tcPr>
            <w:tcW w:w="1100" w:type="dxa"/>
            <w:vAlign w:val="center"/>
          </w:tcPr>
          <w:p w14:paraId="262B641C">
            <w:pPr>
              <w:jc w:val="center"/>
              <w:rPr>
                <w:rFonts w:ascii="宋体" w:hAnsi="宋体"/>
                <w:szCs w:val="21"/>
              </w:rPr>
            </w:pPr>
            <w:r>
              <w:rPr>
                <w:rFonts w:hint="eastAsia" w:ascii="宋体" w:hAnsi="宋体"/>
                <w:szCs w:val="21"/>
              </w:rPr>
              <w:t>车辆管理终端</w:t>
            </w:r>
          </w:p>
        </w:tc>
        <w:tc>
          <w:tcPr>
            <w:tcW w:w="5035" w:type="dxa"/>
          </w:tcPr>
          <w:p w14:paraId="21ECAB7A">
            <w:pPr>
              <w:rPr>
                <w:rFonts w:ascii="宋体" w:hAnsi="宋体" w:cs="宋体"/>
              </w:rPr>
            </w:pPr>
            <w:r>
              <w:rPr>
                <w:rFonts w:hint="eastAsia" w:ascii="宋体" w:hAnsi="宋体" w:cs="宋体"/>
              </w:rPr>
              <w:t>1.WiFi 功能检查：设备自带 WIFI 模块，自带WIFI AP功能，能够通过 WIFI访问设备、控制设备、配置停车场相关功能；</w:t>
            </w:r>
          </w:p>
          <w:p w14:paraId="4020BE87">
            <w:pPr>
              <w:rPr>
                <w:rFonts w:ascii="宋体" w:hAnsi="宋体" w:cs="宋体"/>
              </w:rPr>
            </w:pPr>
            <w:r>
              <w:rPr>
                <w:rFonts w:hint="eastAsia" w:ascii="宋体" w:hAnsi="宋体" w:cs="宋体"/>
              </w:rPr>
              <w:t>2.双屏显示功能检查：设备支持 VGA 和HDMI同时输出画面；</w:t>
            </w:r>
          </w:p>
          <w:p w14:paraId="6762DE0F">
            <w:pPr>
              <w:rPr>
                <w:rFonts w:ascii="宋体" w:hAnsi="宋体" w:cs="宋体"/>
              </w:rPr>
            </w:pPr>
            <w:r>
              <w:rPr>
                <w:rFonts w:hint="eastAsia" w:ascii="宋体" w:hAnsi="宋体" w:cs="宋体"/>
              </w:rPr>
              <w:t>3.一个屏幕展示最多12分屏的实时预览界面；另一个屏幕可展示出入口控制界面，支持实时查看过车图片、视频，支持控制出入口进出、缴费，最多支持12分屏；</w:t>
            </w:r>
          </w:p>
          <w:p w14:paraId="289D9796">
            <w:pPr>
              <w:rPr>
                <w:rFonts w:ascii="宋体" w:hAnsi="宋体" w:cs="宋体"/>
              </w:rPr>
            </w:pPr>
            <w:r>
              <w:rPr>
                <w:rFonts w:hint="eastAsia" w:ascii="宋体" w:hAnsi="宋体" w:cs="宋体"/>
              </w:rPr>
              <w:t>4.双硬盘热备份功能检查：设备自带2个硬盘，一个SSD硬盘，一个2.5或者3.5寸机械硬盘，两个硬盘都能保存停车场数据，开启双硬盘热备份功能后，当一个硬盘故障时，另一个硬盘能够保证停车场正常运行；</w:t>
            </w:r>
          </w:p>
          <w:p w14:paraId="3A54B6FE">
            <w:pPr>
              <w:rPr>
                <w:rFonts w:ascii="宋体" w:hAnsi="宋体" w:cs="宋体"/>
              </w:rPr>
            </w:pPr>
            <w:r>
              <w:rPr>
                <w:rFonts w:hint="eastAsia" w:ascii="宋体" w:hAnsi="宋体" w:cs="宋体"/>
              </w:rPr>
              <w:t>5.远程访问运维功能：设备上电后，无需连接外部网络，可依靠设备自带无线通讯模块，进行远程运维、远程配置、远程操作、远程控制停车场；</w:t>
            </w:r>
          </w:p>
          <w:p w14:paraId="2DD49CD1">
            <w:pPr>
              <w:rPr>
                <w:rFonts w:ascii="宋体" w:hAnsi="宋体" w:cs="宋体"/>
                <w:color w:val="000000" w:themeColor="text1"/>
                <w14:textFill>
                  <w14:solidFill>
                    <w14:schemeClr w14:val="tx1"/>
                  </w14:solidFill>
                </w14:textFill>
              </w:rPr>
            </w:pPr>
            <w:r>
              <w:rPr>
                <w:rFonts w:hint="eastAsia" w:ascii="宋体" w:hAnsi="宋体" w:cs="宋体"/>
              </w:rPr>
              <w:t>6.★网口与车道自动关联功能检查：指定网口与车道进行绑定，当其他设备接入相应网口后，可直接绑定设备与车道，免除重新配置车道等步骤。</w:t>
            </w:r>
            <w:r>
              <w:rPr>
                <w:rFonts w:hint="eastAsia" w:ascii="宋体" w:hAnsi="宋体" w:cs="宋体"/>
                <w:b/>
                <w:bCs/>
                <w:color w:val="000000" w:themeColor="text1"/>
                <w:kern w:val="0"/>
                <w:szCs w:val="21"/>
                <w14:textFill>
                  <w14:solidFill>
                    <w14:schemeClr w14:val="tx1"/>
                  </w14:solidFill>
                </w14:textFill>
              </w:rPr>
              <w:t>（响应文件中需提供承诺函，承诺中标后提供CMA标志的第三方检测机构检测报告报告证明材料给采购人查验）</w:t>
            </w:r>
          </w:p>
          <w:p w14:paraId="54ABCEED">
            <w:pPr>
              <w:rPr>
                <w:rFonts w:ascii="宋体" w:hAnsi="宋体" w:cs="宋体"/>
              </w:rPr>
            </w:pPr>
            <w:r>
              <w:rPr>
                <w:rFonts w:hint="eastAsia" w:ascii="宋体" w:hAnsi="宋体" w:cs="宋体"/>
              </w:rPr>
              <w:t>7.防车辆假出场逃费功能检查：当接入的出口摄像机识别到车辆倒退行为时，可联动设备对车辆进行入场处理，防止车辆假出场逃费行为；</w:t>
            </w:r>
          </w:p>
          <w:p w14:paraId="7AFBD23F">
            <w:pPr>
              <w:rPr>
                <w:rFonts w:ascii="宋体" w:hAnsi="宋体" w:cs="宋体"/>
                <w:color w:val="FF0000"/>
              </w:rPr>
            </w:pPr>
            <w:r>
              <w:rPr>
                <w:rFonts w:hint="eastAsia" w:ascii="宋体" w:hAnsi="宋体" w:cs="宋体"/>
              </w:rPr>
              <w:t>8.计数相机接入功能检查：支持接入出入计数相机统计停车场的余位，可计算车辆的进出，形成出入记录。</w:t>
            </w:r>
          </w:p>
          <w:p w14:paraId="0F4AF1A4">
            <w:pPr>
              <w:rPr>
                <w:rFonts w:ascii="宋体" w:hAnsi="宋体" w:cs="宋体"/>
              </w:rPr>
            </w:pPr>
            <w:r>
              <w:rPr>
                <w:rFonts w:hint="eastAsia" w:ascii="宋体" w:hAnsi="宋体" w:cs="宋体"/>
              </w:rPr>
              <w:t>9.手机扫码访问功能检查：支持手机扫码访问，可通过扫描设备二维码访问设备所有界面；</w:t>
            </w:r>
          </w:p>
          <w:p w14:paraId="060F2B45">
            <w:pPr>
              <w:rPr>
                <w:rFonts w:ascii="宋体" w:hAnsi="宋体" w:cs="宋体"/>
              </w:rPr>
            </w:pPr>
            <w:r>
              <w:rPr>
                <w:rFonts w:hint="eastAsia" w:ascii="宋体" w:hAnsi="宋体" w:cs="宋体"/>
              </w:rPr>
              <w:t>10.BS/CS 客户端功能检查：设备支持BS架构，可通过浏览器登录BS客户端，支持功能包括：登录设备、控制出入口管控、录入名单、查询过车记录：设备支持 CS架构，可通过鼠标、键盘、显示器登录设备CS客户端，支特功能包括：登录设备，控制出入口管控、录入名单、查询过车记录；</w:t>
            </w:r>
          </w:p>
          <w:p w14:paraId="456DA35B">
            <w:pPr>
              <w:rPr>
                <w:rFonts w:ascii="宋体" w:hAnsi="宋体" w:cs="宋体"/>
              </w:rPr>
            </w:pPr>
            <w:r>
              <w:rPr>
                <w:rFonts w:hint="eastAsia" w:ascii="宋体" w:hAnsi="宋体" w:cs="宋体"/>
              </w:rPr>
              <w:t>11.交换机功能检查：具有多口交换机功能，支持8个10/100m自适应 RJ45接口进行网络交换功能；</w:t>
            </w:r>
          </w:p>
          <w:p w14:paraId="3D698A13">
            <w:pPr>
              <w:rPr>
                <w:rFonts w:ascii="宋体" w:hAnsi="宋体" w:cs="宋体"/>
              </w:rPr>
            </w:pPr>
            <w:r>
              <w:rPr>
                <w:rFonts w:hint="eastAsia" w:ascii="宋体" w:hAnsi="宋体" w:cs="宋体"/>
              </w:rPr>
              <w:t>12.终端备份功能检查：一台终端管理停车场，可额外设置另外一台备机，当前设备故障时，另外一台可以切换成正式管理设备，保持停车场正常运行；</w:t>
            </w:r>
          </w:p>
          <w:p w14:paraId="15771E91">
            <w:pPr>
              <w:rPr>
                <w:rFonts w:ascii="宋体" w:hAnsi="宋体" w:cs="宋体"/>
              </w:rPr>
            </w:pPr>
            <w:r>
              <w:rPr>
                <w:rFonts w:hint="eastAsia" w:ascii="宋体" w:hAnsi="宋体" w:cs="宋体"/>
              </w:rPr>
              <w:t>13.APP快速配置功能检查：设备支持APP快速配置，可通过APP实现整个停车场的快速配置；</w:t>
            </w:r>
          </w:p>
          <w:p w14:paraId="723C46BD">
            <w:pPr>
              <w:rPr>
                <w:rFonts w:ascii="宋体" w:hAnsi="宋体" w:cs="宋体"/>
              </w:rPr>
            </w:pPr>
            <w:r>
              <w:rPr>
                <w:rFonts w:hint="eastAsia" w:ascii="宋体" w:hAnsi="宋体" w:cs="宋体"/>
              </w:rPr>
              <w:t>14.BS/CS架构检查：支持本地VGA显示控制使用和WEB端远程控制使用；</w:t>
            </w:r>
          </w:p>
          <w:p w14:paraId="4B214CF7">
            <w:pPr>
              <w:rPr>
                <w:rFonts w:ascii="宋体" w:hAnsi="宋体" w:cs="宋体"/>
              </w:rPr>
            </w:pPr>
            <w:r>
              <w:rPr>
                <w:rFonts w:hint="eastAsia" w:ascii="宋体" w:hAnsi="宋体" w:cs="宋体"/>
              </w:rPr>
              <w:t>15.录像功能检查：可按时间设置定时录像和报警录像，并能根据时间、通道进行查询与回放。</w:t>
            </w:r>
          </w:p>
          <w:p w14:paraId="4AE97754">
            <w:pPr>
              <w:rPr>
                <w:rFonts w:ascii="宋体" w:hAnsi="宋体" w:cs="宋体"/>
              </w:rPr>
            </w:pPr>
            <w:r>
              <w:rPr>
                <w:rFonts w:hint="eastAsia" w:ascii="宋体" w:hAnsi="宋体" w:cs="宋体"/>
              </w:rPr>
              <w:t>16.车辆倒车离场报警功能检查：支持车辆倒车离开闸机摄像头的报警功能；</w:t>
            </w:r>
          </w:p>
          <w:p w14:paraId="1616A9A8">
            <w:pPr>
              <w:rPr>
                <w:rFonts w:ascii="宋体" w:hAnsi="宋体" w:cs="宋体"/>
              </w:rPr>
            </w:pPr>
            <w:r>
              <w:rPr>
                <w:rFonts w:hint="eastAsia" w:ascii="宋体" w:hAnsi="宋体" w:cs="宋体"/>
              </w:rPr>
              <w:t>17.特殊车牌管理功能：支持特殊车牌管理，可分别设置放行规则；</w:t>
            </w:r>
          </w:p>
          <w:p w14:paraId="17AC3D50">
            <w:pPr>
              <w:rPr>
                <w:rFonts w:ascii="宋体" w:hAnsi="宋体" w:cs="宋体"/>
              </w:rPr>
            </w:pPr>
            <w:r>
              <w:rPr>
                <w:rFonts w:hint="eastAsia" w:ascii="宋体" w:hAnsi="宋体" w:cs="宋体"/>
              </w:rPr>
              <w:t>18.车道上车辆滞留提示功能检查：支持车道上车辆滞留超过设置时间的文字显示与语音提示功能。</w:t>
            </w:r>
          </w:p>
        </w:tc>
        <w:tc>
          <w:tcPr>
            <w:tcW w:w="583" w:type="dxa"/>
            <w:vAlign w:val="center"/>
          </w:tcPr>
          <w:p w14:paraId="1C7342B2">
            <w:pPr>
              <w:jc w:val="center"/>
              <w:rPr>
                <w:rFonts w:ascii="宋体" w:hAnsi="宋体"/>
                <w:szCs w:val="21"/>
              </w:rPr>
            </w:pPr>
            <w:r>
              <w:rPr>
                <w:rFonts w:hint="eastAsia" w:ascii="宋体" w:hAnsi="宋体"/>
                <w:szCs w:val="21"/>
              </w:rPr>
              <w:t>1</w:t>
            </w:r>
          </w:p>
        </w:tc>
        <w:tc>
          <w:tcPr>
            <w:tcW w:w="600" w:type="dxa"/>
            <w:vAlign w:val="center"/>
          </w:tcPr>
          <w:p w14:paraId="5DDF67C0">
            <w:pPr>
              <w:jc w:val="center"/>
              <w:rPr>
                <w:rFonts w:ascii="宋体" w:hAnsi="宋体"/>
                <w:szCs w:val="21"/>
              </w:rPr>
            </w:pPr>
            <w:r>
              <w:rPr>
                <w:rFonts w:hint="eastAsia" w:ascii="宋体" w:hAnsi="宋体"/>
                <w:szCs w:val="21"/>
              </w:rPr>
              <w:t>台</w:t>
            </w:r>
          </w:p>
        </w:tc>
        <w:tc>
          <w:tcPr>
            <w:tcW w:w="767" w:type="dxa"/>
            <w:vAlign w:val="center"/>
          </w:tcPr>
          <w:p w14:paraId="0B92CD01">
            <w:pPr>
              <w:jc w:val="center"/>
              <w:rPr>
                <w:rFonts w:ascii="宋体" w:hAnsi="宋体"/>
                <w:szCs w:val="21"/>
              </w:rPr>
            </w:pPr>
            <w:r>
              <w:rPr>
                <w:rFonts w:hint="eastAsia" w:ascii="宋体" w:hAnsi="宋体"/>
                <w:szCs w:val="21"/>
              </w:rPr>
              <w:t>5000</w:t>
            </w:r>
          </w:p>
        </w:tc>
        <w:tc>
          <w:tcPr>
            <w:tcW w:w="755" w:type="dxa"/>
            <w:vAlign w:val="center"/>
          </w:tcPr>
          <w:p w14:paraId="7A5AA252">
            <w:pPr>
              <w:jc w:val="center"/>
              <w:rPr>
                <w:rFonts w:ascii="宋体" w:hAnsi="宋体"/>
                <w:szCs w:val="21"/>
              </w:rPr>
            </w:pPr>
            <w:r>
              <w:rPr>
                <w:rFonts w:hint="eastAsia" w:ascii="宋体" w:hAnsi="宋体"/>
                <w:szCs w:val="21"/>
              </w:rPr>
              <w:t>5000</w:t>
            </w:r>
          </w:p>
        </w:tc>
      </w:tr>
      <w:tr w14:paraId="42F6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648" w:type="dxa"/>
            <w:gridSpan w:val="7"/>
            <w:vAlign w:val="center"/>
          </w:tcPr>
          <w:p w14:paraId="76BCF2BC">
            <w:pPr>
              <w:jc w:val="left"/>
              <w:rPr>
                <w:rFonts w:hint="eastAsia" w:ascii="宋体" w:hAnsi="宋体"/>
                <w:b/>
                <w:bCs/>
                <w:sz w:val="28"/>
                <w:szCs w:val="28"/>
              </w:rPr>
            </w:pPr>
            <w:r>
              <w:rPr>
                <w:rFonts w:hint="eastAsia" w:ascii="宋体" w:hAnsi="宋体"/>
                <w:b/>
                <w:bCs/>
                <w:sz w:val="28"/>
                <w:szCs w:val="28"/>
              </w:rPr>
              <w:t>合 计:185000.00元</w:t>
            </w:r>
          </w:p>
          <w:p w14:paraId="55DCBD31">
            <w:pPr>
              <w:jc w:val="left"/>
              <w:rPr>
                <w:rFonts w:hint="eastAsia" w:ascii="宋体" w:hAnsi="宋体"/>
                <w:b/>
                <w:bCs/>
                <w:sz w:val="24"/>
                <w:szCs w:val="24"/>
                <w:lang w:val="en-US" w:eastAsia="zh-CN"/>
              </w:rPr>
            </w:pPr>
          </w:p>
          <w:p w14:paraId="2F341E46">
            <w:pPr>
              <w:jc w:val="left"/>
              <w:rPr>
                <w:rFonts w:hint="eastAsia" w:ascii="宋体" w:hAnsi="宋体" w:eastAsia="宋体"/>
                <w:b/>
                <w:bCs/>
                <w:sz w:val="28"/>
                <w:szCs w:val="28"/>
                <w:lang w:val="en-US" w:eastAsia="zh-CN"/>
              </w:rPr>
            </w:pPr>
            <w:r>
              <w:rPr>
                <w:rFonts w:hint="eastAsia" w:ascii="宋体" w:hAnsi="宋体"/>
                <w:b/>
                <w:bCs/>
                <w:sz w:val="24"/>
                <w:szCs w:val="24"/>
                <w:lang w:val="en-US" w:eastAsia="zh-CN"/>
              </w:rPr>
              <w:t>注：</w:t>
            </w:r>
            <w:r>
              <w:rPr>
                <w:rFonts w:hint="eastAsia" w:ascii="宋体" w:hAnsi="宋体"/>
                <w:b/>
                <w:bCs/>
                <w:sz w:val="24"/>
                <w:szCs w:val="24"/>
              </w:rPr>
              <w:t>采购需求中标注星号项的未按要求提供证明材料或承诺函的，投标无效</w:t>
            </w:r>
            <w:r>
              <w:rPr>
                <w:rFonts w:hint="eastAsia" w:ascii="宋体" w:hAnsi="宋体"/>
                <w:b/>
                <w:bCs/>
                <w:sz w:val="24"/>
                <w:szCs w:val="24"/>
                <w:lang w:eastAsia="zh-CN"/>
              </w:rPr>
              <w:t>。</w:t>
            </w:r>
          </w:p>
        </w:tc>
      </w:tr>
    </w:tbl>
    <w:p w14:paraId="2DD7F707">
      <w:pPr>
        <w:widowControl/>
        <w:shd w:val="clear" w:color="auto" w:fill="FFFFFF"/>
        <w:spacing w:line="360" w:lineRule="auto"/>
        <w:rPr>
          <w:rFonts w:ascii="宋体" w:hAnsi="宋体" w:cs="宋体"/>
          <w:b/>
          <w:szCs w:val="21"/>
        </w:rPr>
      </w:pPr>
      <w:bookmarkStart w:id="2" w:name="_Hlk106267351"/>
      <w:bookmarkStart w:id="3" w:name="_Hlk96158360"/>
      <w:r>
        <w:rPr>
          <w:rFonts w:hint="eastAsia" w:ascii="宋体" w:hAnsi="宋体" w:cs="宋体"/>
          <w:b/>
          <w:szCs w:val="21"/>
        </w:rPr>
        <w:t>二、质量要求</w:t>
      </w:r>
    </w:p>
    <w:p w14:paraId="55D1FC34">
      <w:pPr>
        <w:pStyle w:val="9"/>
        <w:widowControl/>
        <w:shd w:val="clear" w:color="auto" w:fill="FFFFFF"/>
        <w:spacing w:line="360" w:lineRule="auto"/>
        <w:jc w:val="left"/>
        <w:rPr>
          <w:rFonts w:ascii="宋体" w:hAnsi="宋体" w:cs="宋体"/>
          <w:szCs w:val="21"/>
        </w:rPr>
      </w:pPr>
      <w:r>
        <w:rPr>
          <w:rFonts w:hint="eastAsia" w:ascii="宋体" w:hAnsi="宋体" w:cs="宋体"/>
          <w:szCs w:val="21"/>
        </w:rPr>
        <w:t>投标人拟提供的货物必须是全新、原装、合格正品，须符合国家或行业以及采购人相关规定的质量标准。货物完好，配件齐全。</w:t>
      </w:r>
    </w:p>
    <w:p w14:paraId="1F637B2E">
      <w:pPr>
        <w:pStyle w:val="9"/>
        <w:widowControl/>
        <w:shd w:val="clear" w:color="auto" w:fill="FFFFFF"/>
        <w:spacing w:line="360" w:lineRule="auto"/>
        <w:ind w:firstLine="0" w:firstLineChars="0"/>
        <w:jc w:val="left"/>
        <w:rPr>
          <w:rFonts w:ascii="宋体" w:hAnsi="宋体" w:cs="宋体"/>
          <w:b/>
          <w:color w:val="000000" w:themeColor="text1"/>
          <w:szCs w:val="21"/>
          <w14:textFill>
            <w14:solidFill>
              <w14:schemeClr w14:val="tx1"/>
            </w14:solidFill>
          </w14:textFill>
        </w:rPr>
      </w:pPr>
      <w:r>
        <w:rPr>
          <w:rFonts w:hint="eastAsia" w:ascii="宋体" w:hAnsi="宋体" w:cs="宋体"/>
          <w:b/>
          <w:szCs w:val="21"/>
        </w:rPr>
        <w:t>三、供货期</w:t>
      </w:r>
    </w:p>
    <w:p w14:paraId="7E403847">
      <w:pPr>
        <w:shd w:val="clear" w:color="auto" w:fill="FFFFFF"/>
        <w:spacing w:line="360" w:lineRule="auto"/>
        <w:ind w:firstLine="210" w:firstLineChars="100"/>
        <w:contextualSpacing/>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自合同签订30日内完成供货、安装及调试。</w:t>
      </w:r>
    </w:p>
    <w:p w14:paraId="2575A30B">
      <w:pPr>
        <w:widowControl/>
        <w:spacing w:line="360" w:lineRule="auto"/>
        <w:ind w:firstLine="211" w:firstLineChars="100"/>
        <w:jc w:val="left"/>
        <w:rPr>
          <w:rFonts w:ascii="宋体" w:hAnsi="宋体" w:cs="宋体"/>
          <w:b/>
          <w:bCs/>
          <w:szCs w:val="21"/>
        </w:rPr>
      </w:pPr>
      <w:r>
        <w:rPr>
          <w:rFonts w:hint="eastAsia" w:ascii="宋体" w:hAnsi="宋体" w:cs="宋体"/>
          <w:b/>
          <w:bCs/>
          <w:szCs w:val="21"/>
        </w:rPr>
        <w:t>四、货物质量及售后服务要求</w:t>
      </w:r>
    </w:p>
    <w:p w14:paraId="59160767">
      <w:pPr>
        <w:spacing w:line="360" w:lineRule="auto"/>
        <w:ind w:firstLine="420" w:firstLineChars="200"/>
        <w:rPr>
          <w:rFonts w:ascii="宋体" w:hAnsi="宋体" w:cs="宋体"/>
          <w:szCs w:val="21"/>
        </w:rPr>
      </w:pPr>
      <w:r>
        <w:rPr>
          <w:rFonts w:hint="eastAsia" w:ascii="宋体" w:hAnsi="宋体" w:cs="宋体"/>
          <w:szCs w:val="21"/>
        </w:rPr>
        <w:t>1、供应商应负责产品的质量，若供应商接到采购人维修通知，必须在接到通知后12小时内派技术人员到达现场维修，24小时内排除故障，若不能及时解决问题，提供备用机。</w:t>
      </w:r>
    </w:p>
    <w:p w14:paraId="6736D6E0">
      <w:pPr>
        <w:spacing w:line="360" w:lineRule="auto"/>
        <w:ind w:firstLine="420" w:firstLineChars="200"/>
        <w:rPr>
          <w:rFonts w:ascii="宋体" w:hAnsi="宋体" w:cs="宋体"/>
          <w:color w:val="000000"/>
          <w:kern w:val="0"/>
          <w:sz w:val="20"/>
          <w:szCs w:val="21"/>
          <w:highlight w:val="cyan"/>
          <w:lang w:bidi="ar"/>
        </w:rPr>
      </w:pPr>
      <w:r>
        <w:rPr>
          <w:rFonts w:hint="eastAsia" w:ascii="宋体" w:hAnsi="宋体" w:cs="宋体"/>
          <w:szCs w:val="21"/>
        </w:rPr>
        <w:t>2、质保期：所投软、硬件产品按厂家质保期执行,供应商承诺的质保期大于厂家质保期的按供应商承诺质保期执行</w:t>
      </w:r>
      <w:r>
        <w:rPr>
          <w:rFonts w:hint="eastAsia" w:ascii="宋体" w:hAnsi="宋体" w:cs="宋体"/>
          <w:szCs w:val="21"/>
          <w:highlight w:val="none"/>
        </w:rPr>
        <w:t>,但不得低于</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三 </w:t>
      </w:r>
      <w:r>
        <w:rPr>
          <w:rFonts w:hint="eastAsia" w:ascii="宋体" w:hAnsi="宋体" w:cs="宋体"/>
          <w:szCs w:val="21"/>
          <w:highlight w:val="none"/>
        </w:rPr>
        <w:t>年。</w:t>
      </w:r>
      <w:r>
        <w:rPr>
          <w:rFonts w:hint="eastAsia" w:ascii="宋体" w:hAnsi="宋体" w:cs="宋体"/>
          <w:szCs w:val="21"/>
        </w:rPr>
        <w:t>成交供应商在质保期内对系统应用软件部分根据业务需要免费提供功能性完善服务（免费升级、故障修复等）。</w:t>
      </w:r>
    </w:p>
    <w:p w14:paraId="0B3876CA">
      <w:pPr>
        <w:spacing w:line="360" w:lineRule="auto"/>
        <w:jc w:val="left"/>
        <w:rPr>
          <w:rFonts w:ascii="宋体" w:hAnsi="宋体" w:cs="宋体"/>
          <w:b/>
          <w:bCs/>
          <w:snapToGrid w:val="0"/>
          <w:szCs w:val="21"/>
        </w:rPr>
      </w:pPr>
      <w:r>
        <w:rPr>
          <w:rFonts w:hint="eastAsia" w:ascii="宋体" w:hAnsi="宋体" w:cs="宋体"/>
          <w:b/>
          <w:bCs/>
          <w:snapToGrid w:val="0"/>
          <w:szCs w:val="21"/>
        </w:rPr>
        <w:t>五、报价要求</w:t>
      </w:r>
    </w:p>
    <w:p w14:paraId="229FF003">
      <w:pPr>
        <w:spacing w:line="360" w:lineRule="auto"/>
        <w:ind w:firstLine="420" w:firstLineChars="200"/>
        <w:rPr>
          <w:rFonts w:ascii="宋体" w:hAnsi="宋体" w:cs="宋体"/>
          <w:szCs w:val="21"/>
        </w:rPr>
      </w:pPr>
      <w:r>
        <w:rPr>
          <w:rFonts w:hint="eastAsia" w:ascii="宋体" w:hAnsi="宋体" w:cs="宋体"/>
          <w:szCs w:val="21"/>
        </w:rPr>
        <w:t>本项目报投标总价，总报价包含完成本项目招标的一切相关费用（包含但不限于：所投货物、调试、技术服务、培训、税费等为完成本项目所必须的其他辅助工作的相关费用等所有费用）。</w:t>
      </w:r>
    </w:p>
    <w:p w14:paraId="7DBC03C9">
      <w:pPr>
        <w:spacing w:line="360" w:lineRule="auto"/>
        <w:jc w:val="left"/>
        <w:rPr>
          <w:rFonts w:ascii="宋体" w:hAnsi="宋体" w:cs="宋体"/>
          <w:b/>
          <w:szCs w:val="21"/>
        </w:rPr>
      </w:pPr>
      <w:r>
        <w:rPr>
          <w:rFonts w:hint="eastAsia" w:ascii="宋体" w:hAnsi="宋体" w:cs="宋体"/>
          <w:b/>
          <w:szCs w:val="21"/>
        </w:rPr>
        <w:t>六、其他要求</w:t>
      </w:r>
    </w:p>
    <w:p w14:paraId="758F1A69">
      <w:pPr>
        <w:pStyle w:val="2"/>
        <w:spacing w:line="360" w:lineRule="auto"/>
        <w:ind w:firstLineChars="200"/>
        <w:rPr>
          <w:rFonts w:hAnsi="宋体" w:cs="宋体"/>
          <w:color w:val="000000"/>
          <w:kern w:val="2"/>
          <w:sz w:val="21"/>
          <w:szCs w:val="21"/>
        </w:rPr>
      </w:pPr>
      <w:r>
        <w:rPr>
          <w:rFonts w:hint="eastAsia" w:hAnsi="宋体" w:cs="宋体"/>
          <w:color w:val="000000"/>
          <w:kern w:val="2"/>
          <w:sz w:val="21"/>
          <w:szCs w:val="21"/>
        </w:rPr>
        <w:t>1.供货及时周到，产品质量或外包装不符合国家规定标准的应及时退、换货。</w:t>
      </w:r>
    </w:p>
    <w:p w14:paraId="331B01C6">
      <w:pPr>
        <w:spacing w:line="360" w:lineRule="auto"/>
        <w:ind w:firstLine="420" w:firstLineChars="200"/>
        <w:rPr>
          <w:rFonts w:ascii="宋体" w:hAnsi="宋体" w:cs="宋体"/>
          <w:szCs w:val="21"/>
        </w:rPr>
      </w:pPr>
      <w:r>
        <w:rPr>
          <w:rFonts w:hint="eastAsia" w:ascii="宋体" w:hAnsi="宋体"/>
          <w:szCs w:val="21"/>
        </w:rPr>
        <w:t>2.成交人</w:t>
      </w:r>
      <w:r>
        <w:rPr>
          <w:rFonts w:hint="eastAsia" w:ascii="宋体" w:hAnsi="宋体" w:cs="宋体"/>
          <w:szCs w:val="21"/>
        </w:rPr>
        <w:t>所提供的产品须满足采购人需求。若成交人中标后提供的货物不能满足要求的需无条件免费更换。若成交人不予更换的，采购人有权解除合同，且不予支付货款。给采购人造成损失的还应予以赔偿。</w:t>
      </w:r>
    </w:p>
    <w:p w14:paraId="73D447DE">
      <w:pPr>
        <w:shd w:val="clear" w:color="auto" w:fill="FFFFFF"/>
        <w:spacing w:line="360" w:lineRule="auto"/>
        <w:contextualSpacing/>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七、付款方式</w:t>
      </w:r>
    </w:p>
    <w:bookmarkEnd w:id="2"/>
    <w:bookmarkEnd w:id="3"/>
    <w:p w14:paraId="61683E2E">
      <w:pPr>
        <w:pStyle w:val="2"/>
        <w:spacing w:line="360" w:lineRule="auto"/>
        <w:ind w:firstLineChars="200"/>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货物验收合格后一次性付款。</w:t>
      </w:r>
    </w:p>
    <w:p w14:paraId="53323E61"/>
    <w:sectPr>
      <w:pgSz w:w="11906" w:h="16838"/>
      <w:pgMar w:top="1440" w:right="1800"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F5A808"/>
    <w:multiLevelType w:val="singleLevel"/>
    <w:tmpl w:val="6EF5A8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2F0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ind w:firstLine="420"/>
      <w:jc w:val="left"/>
    </w:pPr>
    <w:rPr>
      <w:rFonts w:ascii="宋体"/>
      <w:kern w:val="0"/>
      <w:sz w:val="24"/>
      <w:szCs w:val="20"/>
    </w:rPr>
  </w:style>
  <w:style w:type="paragraph" w:styleId="3">
    <w:name w:val="Body Text First Indent 2"/>
    <w:basedOn w:val="4"/>
    <w:unhideWhenUsed/>
    <w:qFormat/>
    <w:uiPriority w:val="99"/>
    <w:pPr>
      <w:ind w:firstLine="420"/>
    </w:pPr>
  </w:style>
  <w:style w:type="paragraph" w:styleId="4">
    <w:name w:val="Body Text Indent"/>
    <w:basedOn w:val="1"/>
    <w:next w:val="5"/>
    <w:qFormat/>
    <w:uiPriority w:val="0"/>
    <w:pPr>
      <w:spacing w:after="120"/>
      <w:ind w:left="420" w:leftChars="200"/>
    </w:pPr>
  </w:style>
  <w:style w:type="paragraph" w:styleId="5">
    <w:name w:val="envelope return"/>
    <w:basedOn w:val="1"/>
    <w:unhideWhenUsed/>
    <w:qFormat/>
    <w:uiPriority w:val="0"/>
    <w:pPr>
      <w:snapToGrid w:val="0"/>
      <w:spacing w:beforeLines="50" w:afterLines="50" w:line="360" w:lineRule="auto"/>
      <w:ind w:firstLine="480" w:firstLineChars="200"/>
    </w:pPr>
    <w:rPr>
      <w:rFonts w:ascii="Arial" w:hAnsi="Arial" w:cs="Arial"/>
      <w:sz w:val="24"/>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2025-09-01T09:01:05Z</dcterms:created>
  <dc:creator>Lenovo</dc:creator>
  <cp:lastModifiedBy>下辈子当一棵树</cp:lastModifiedBy>
  <dcterms:modified xsi:type="dcterms:W3CDTF">2025-09-01T09:01:29Z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eyJoZGlkIjoiZWMyYmQ1YTU4OTI4ODgzN2RlZDc3OWQ2ZjA1YTZiNTQiLCJ1c2VySWQiOiI4MjQ0ODk3ODcifQ==</vt:lpwstr>
  </property>
  <property fmtid="{D5CDD505-2E9C-101B-9397-08002B2CF9AE}" pid="4" name="ICV">
    <vt:lpwstr>AB32EEBACC114D3F9E7DD96D14292B23_12</vt:lpwstr>
  </property>
</Properties>
</file>